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650" w:rsidRDefault="008C2650" w:rsidP="008C2650">
      <w:pPr>
        <w:pStyle w:val="Body"/>
        <w:jc w:val="center"/>
        <w:outlineLvl w:val="0"/>
        <w:rPr>
          <w:rFonts w:ascii="Times New Roman" w:eastAsia="Times New Roman" w:hAnsi="Times New Roman" w:cs="Times New Roman"/>
          <w:sz w:val="24"/>
          <w:szCs w:val="24"/>
        </w:rPr>
      </w:pPr>
      <w:r>
        <w:rPr>
          <w:rFonts w:ascii="Times New Roman" w:hAnsi="Times New Roman"/>
          <w:sz w:val="24"/>
          <w:szCs w:val="24"/>
        </w:rPr>
        <w:t>MIDWESTERN BAPTIST THEOLOGICAL SEMINARY</w:t>
      </w: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outlineLvl w:val="0"/>
        <w:rPr>
          <w:rFonts w:ascii="Times New Roman" w:eastAsia="Times New Roman" w:hAnsi="Times New Roman" w:cs="Times New Roman"/>
          <w:sz w:val="24"/>
          <w:szCs w:val="24"/>
        </w:rPr>
      </w:pPr>
      <w:r>
        <w:rPr>
          <w:rFonts w:ascii="Times New Roman" w:hAnsi="Times New Roman"/>
          <w:sz w:val="24"/>
          <w:szCs w:val="24"/>
        </w:rPr>
        <w:t>JOHN A. BROADUS</w:t>
      </w: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outlineLvl w:val="0"/>
        <w:rPr>
          <w:rFonts w:ascii="Times New Roman" w:eastAsia="Times New Roman" w:hAnsi="Times New Roman" w:cs="Times New Roman"/>
          <w:sz w:val="24"/>
          <w:szCs w:val="24"/>
        </w:rPr>
      </w:pPr>
      <w:r>
        <w:rPr>
          <w:rFonts w:ascii="Times New Roman" w:hAnsi="Times New Roman"/>
          <w:sz w:val="24"/>
          <w:szCs w:val="24"/>
        </w:rPr>
        <w:t>A PAPER</w:t>
      </w:r>
    </w:p>
    <w:p w:rsidR="008C2650" w:rsidRDefault="008C2650" w:rsidP="008C2650">
      <w:pPr>
        <w:pStyle w:val="Body"/>
        <w:jc w:val="center"/>
        <w:rPr>
          <w:rFonts w:ascii="Times New Roman" w:eastAsia="Times New Roman" w:hAnsi="Times New Roman" w:cs="Times New Roman"/>
          <w:sz w:val="24"/>
          <w:szCs w:val="24"/>
        </w:rPr>
      </w:pPr>
      <w:r>
        <w:rPr>
          <w:rFonts w:ascii="Times New Roman" w:hAnsi="Times New Roman"/>
          <w:sz w:val="24"/>
          <w:szCs w:val="24"/>
        </w:rPr>
        <w:t xml:space="preserve">SUBMITTED IN PARTIAL FULFILLMENT </w:t>
      </w:r>
    </w:p>
    <w:p w:rsidR="008C2650" w:rsidRDefault="008C2650" w:rsidP="008C2650">
      <w:pPr>
        <w:pStyle w:val="Body"/>
        <w:jc w:val="center"/>
        <w:rPr>
          <w:rFonts w:ascii="Times New Roman" w:eastAsia="Times New Roman" w:hAnsi="Times New Roman" w:cs="Times New Roman"/>
          <w:sz w:val="24"/>
          <w:szCs w:val="24"/>
        </w:rPr>
      </w:pPr>
      <w:r>
        <w:rPr>
          <w:rFonts w:ascii="Times New Roman" w:hAnsi="Times New Roman"/>
          <w:sz w:val="24"/>
          <w:szCs w:val="24"/>
        </w:rPr>
        <w:t>OF THE REQUIREMENTS FOR THE COURSE</w:t>
      </w:r>
    </w:p>
    <w:p w:rsidR="008C2650" w:rsidRDefault="008C2650" w:rsidP="008C2650">
      <w:pPr>
        <w:pStyle w:val="Body"/>
        <w:jc w:val="center"/>
        <w:rPr>
          <w:rFonts w:ascii="Times New Roman" w:eastAsia="Times New Roman" w:hAnsi="Times New Roman" w:cs="Times New Roman"/>
          <w:sz w:val="24"/>
          <w:szCs w:val="24"/>
        </w:rPr>
      </w:pPr>
      <w:r>
        <w:rPr>
          <w:rFonts w:ascii="Times New Roman" w:hAnsi="Times New Roman"/>
          <w:sz w:val="24"/>
          <w:szCs w:val="24"/>
          <w:lang w:val="da-DK"/>
        </w:rPr>
        <w:t>DR3</w:t>
      </w:r>
      <w:r>
        <w:rPr>
          <w:rFonts w:ascii="Times New Roman" w:hAnsi="Times New Roman"/>
          <w:sz w:val="24"/>
          <w:szCs w:val="24"/>
        </w:rPr>
        <w:t>6260-01-FA-17: PREACHING FROM THE NEW TESTAMENT</w:t>
      </w: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r>
        <w:rPr>
          <w:rFonts w:ascii="Times New Roman" w:hAnsi="Times New Roman"/>
          <w:sz w:val="24"/>
          <w:szCs w:val="24"/>
        </w:rPr>
        <w:t>BY</w:t>
      </w:r>
    </w:p>
    <w:p w:rsidR="008C2650" w:rsidRDefault="008C2650" w:rsidP="008C2650">
      <w:pPr>
        <w:pStyle w:val="Body"/>
        <w:jc w:val="center"/>
        <w:rPr>
          <w:rFonts w:ascii="Times New Roman" w:eastAsia="Times New Roman" w:hAnsi="Times New Roman" w:cs="Times New Roman"/>
          <w:sz w:val="24"/>
          <w:szCs w:val="24"/>
        </w:rPr>
      </w:pPr>
      <w:r>
        <w:rPr>
          <w:rFonts w:ascii="Times New Roman" w:hAnsi="Times New Roman"/>
          <w:sz w:val="24"/>
          <w:szCs w:val="24"/>
        </w:rPr>
        <w:t>JOHN BARTLEY WOOTEN</w:t>
      </w: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rPr>
          <w:rFonts w:ascii="Times New Roman" w:eastAsia="Times New Roman" w:hAnsi="Times New Roman" w:cs="Times New Roman"/>
          <w:sz w:val="24"/>
          <w:szCs w:val="24"/>
        </w:rPr>
      </w:pPr>
    </w:p>
    <w:p w:rsidR="008C2650" w:rsidRDefault="008C2650" w:rsidP="008C2650">
      <w:pPr>
        <w:pStyle w:val="Body"/>
        <w:jc w:val="center"/>
        <w:outlineLvl w:val="0"/>
        <w:rPr>
          <w:rFonts w:ascii="Times New Roman" w:eastAsia="Times New Roman" w:hAnsi="Times New Roman" w:cs="Times New Roman"/>
          <w:sz w:val="24"/>
          <w:szCs w:val="24"/>
        </w:rPr>
      </w:pPr>
      <w:r>
        <w:rPr>
          <w:rFonts w:ascii="Times New Roman" w:hAnsi="Times New Roman"/>
          <w:sz w:val="24"/>
          <w:szCs w:val="24"/>
        </w:rPr>
        <w:t>KANSAS CITY, MISSOURI</w:t>
      </w:r>
    </w:p>
    <w:p w:rsidR="008C2650" w:rsidRDefault="008C2650" w:rsidP="008C2650">
      <w:pPr>
        <w:spacing w:after="0" w:line="480" w:lineRule="auto"/>
        <w:jc w:val="center"/>
        <w:rPr>
          <w:b/>
        </w:rPr>
      </w:pPr>
      <w:r>
        <w:t>OCTOBER 06, 2017</w:t>
      </w:r>
    </w:p>
    <w:p w:rsidR="008C2650" w:rsidRDefault="008C2650" w:rsidP="00FD0B21">
      <w:pPr>
        <w:spacing w:after="0" w:line="480" w:lineRule="auto"/>
        <w:jc w:val="center"/>
        <w:rPr>
          <w:b/>
        </w:rPr>
      </w:pPr>
    </w:p>
    <w:p w:rsidR="008C2650" w:rsidRDefault="008C2650" w:rsidP="00FD0B21">
      <w:pPr>
        <w:spacing w:after="0" w:line="480" w:lineRule="auto"/>
        <w:jc w:val="center"/>
        <w:rPr>
          <w:b/>
        </w:rPr>
      </w:pPr>
    </w:p>
    <w:p w:rsidR="008C2650" w:rsidRDefault="008C2650" w:rsidP="00FD0B21">
      <w:pPr>
        <w:spacing w:after="0" w:line="480" w:lineRule="auto"/>
        <w:jc w:val="center"/>
        <w:rPr>
          <w:b/>
        </w:rPr>
      </w:pPr>
    </w:p>
    <w:p w:rsidR="008C2650" w:rsidRDefault="008C2650" w:rsidP="00FD0B21">
      <w:pPr>
        <w:spacing w:after="0" w:line="480" w:lineRule="auto"/>
        <w:jc w:val="center"/>
        <w:rPr>
          <w:b/>
        </w:rPr>
      </w:pPr>
    </w:p>
    <w:p w:rsidR="008C2650" w:rsidRDefault="008C2650" w:rsidP="00FD0B21">
      <w:pPr>
        <w:spacing w:after="0" w:line="480" w:lineRule="auto"/>
        <w:jc w:val="center"/>
        <w:rPr>
          <w:b/>
        </w:rPr>
      </w:pPr>
    </w:p>
    <w:p w:rsidR="008C2650" w:rsidRDefault="008C2650" w:rsidP="00FD0B21">
      <w:pPr>
        <w:spacing w:after="0" w:line="480" w:lineRule="auto"/>
        <w:jc w:val="center"/>
        <w:rPr>
          <w:b/>
        </w:rPr>
        <w:sectPr w:rsidR="008C2650">
          <w:footerReference w:type="default" r:id="rId7"/>
          <w:pgSz w:w="12240" w:h="15840"/>
          <w:pgMar w:top="1440" w:right="1440" w:bottom="1440" w:left="1440" w:header="720" w:footer="720" w:gutter="0"/>
          <w:cols w:space="720"/>
          <w:docGrid w:linePitch="360"/>
        </w:sectPr>
      </w:pPr>
    </w:p>
    <w:p w:rsidR="00E8059B" w:rsidRPr="00E8059B" w:rsidRDefault="00E8059B" w:rsidP="00E8059B">
      <w:pPr>
        <w:spacing w:after="0" w:line="480" w:lineRule="auto"/>
      </w:pPr>
      <w:r>
        <w:rPr>
          <w:b/>
        </w:rPr>
        <w:lastRenderedPageBreak/>
        <w:tab/>
      </w:r>
      <w:r>
        <w:t>John A. Broadus</w:t>
      </w:r>
      <w:r w:rsidR="00F5600D">
        <w:t xml:space="preserve"> is </w:t>
      </w:r>
      <w:r w:rsidR="005E4C05">
        <w:t>one of the most influential professors of homiletics in America</w:t>
      </w:r>
      <w:r w:rsidR="00F5600D">
        <w:t>n history. He</w:t>
      </w:r>
      <w:r w:rsidR="005E4C05">
        <w:t xml:space="preserve"> </w:t>
      </w:r>
      <w:r w:rsidR="003749E7" w:rsidRPr="003749E7">
        <w:t>represents a bree</w:t>
      </w:r>
      <w:r w:rsidR="005E4C05">
        <w:t xml:space="preserve">d of scholars </w:t>
      </w:r>
      <w:r w:rsidR="003749E7" w:rsidRPr="003749E7">
        <w:t>who</w:t>
      </w:r>
      <w:r w:rsidR="005E4C05">
        <w:t xml:space="preserve">se fame extended years </w:t>
      </w:r>
      <w:r w:rsidR="00C342C1">
        <w:t>beyond his life</w:t>
      </w:r>
      <w:r w:rsidR="005E4C05">
        <w:t>.</w:t>
      </w:r>
      <w:r w:rsidR="00A33657">
        <w:t xml:space="preserve"> His contribution to the field of preaching cannot be overstated. </w:t>
      </w:r>
      <w:r w:rsidR="00130D4A">
        <w:t xml:space="preserve"> </w:t>
      </w:r>
      <w:r w:rsidR="00A33657">
        <w:t xml:space="preserve">His greatest work, </w:t>
      </w:r>
      <w:r w:rsidR="00A33657">
        <w:rPr>
          <w:i/>
        </w:rPr>
        <w:t>A Treatise on Preparation and Delivery of Sermons</w:t>
      </w:r>
      <w:r w:rsidR="00F5600D">
        <w:t xml:space="preserve"> is considered </w:t>
      </w:r>
      <w:r w:rsidR="00B2122A">
        <w:t xml:space="preserve">a classic in </w:t>
      </w:r>
      <w:r w:rsidR="00A33657">
        <w:t>homiletics and</w:t>
      </w:r>
      <w:r w:rsidR="00C342C1">
        <w:t>,</w:t>
      </w:r>
      <w:r w:rsidR="00B2122A">
        <w:t xml:space="preserve"> thus, </w:t>
      </w:r>
      <w:r w:rsidR="00A33657">
        <w:t>a must read for any preacher of the gospel. With that in mind, this student</w:t>
      </w:r>
      <w:r w:rsidR="00B2122A">
        <w:t xml:space="preserve"> will provide a </w:t>
      </w:r>
      <w:r w:rsidR="00A33657">
        <w:t xml:space="preserve">summary of Broadus’ </w:t>
      </w:r>
      <w:r w:rsidR="00130D4A">
        <w:t xml:space="preserve">life and </w:t>
      </w:r>
      <w:r w:rsidR="00A33657">
        <w:t>consider his major contributions</w:t>
      </w:r>
      <w:r w:rsidR="00B2122A">
        <w:t xml:space="preserve"> to preaching in </w:t>
      </w:r>
      <w:r w:rsidR="00A33657">
        <w:t>American Christianity in the nineteenth century.</w:t>
      </w:r>
      <w:r w:rsidR="00130D4A">
        <w:t xml:space="preserve"> This student will also examine key elements of Broadus’ text, </w:t>
      </w:r>
      <w:r w:rsidR="00130D4A">
        <w:rPr>
          <w:i/>
        </w:rPr>
        <w:t>A Treatise on Preparation and Delivery of Sermons</w:t>
      </w:r>
      <w:r w:rsidR="00B2122A">
        <w:t xml:space="preserve"> and provide an analysis</w:t>
      </w:r>
      <w:r w:rsidR="00130D4A">
        <w:t xml:space="preserve"> for each element. Finally, this student will analyze Broadus’ sermon “The Lord’s Prayer” using Broadus’ textbook to evalu</w:t>
      </w:r>
      <w:r w:rsidR="00B2122A">
        <w:t>ate his discourse</w:t>
      </w:r>
      <w:r w:rsidR="00130D4A">
        <w:t xml:space="preserve">.   </w:t>
      </w:r>
      <w:r w:rsidR="00A33657">
        <w:t xml:space="preserve">  </w:t>
      </w:r>
      <w:r w:rsidR="005E4C05">
        <w:t xml:space="preserve">  </w:t>
      </w:r>
    </w:p>
    <w:p w:rsidR="00CE1178" w:rsidRDefault="00E8059B" w:rsidP="003A2387">
      <w:pPr>
        <w:spacing w:after="0" w:line="480" w:lineRule="auto"/>
        <w:jc w:val="center"/>
        <w:rPr>
          <w:b/>
        </w:rPr>
      </w:pPr>
      <w:r>
        <w:rPr>
          <w:b/>
        </w:rPr>
        <w:t>The Life of John A. Broadus</w:t>
      </w:r>
    </w:p>
    <w:p w:rsidR="00B204EB" w:rsidRDefault="00B204EB" w:rsidP="00B204EB">
      <w:pPr>
        <w:spacing w:after="0" w:line="480" w:lineRule="auto"/>
      </w:pPr>
      <w:r>
        <w:rPr>
          <w:b/>
        </w:rPr>
        <w:tab/>
      </w:r>
      <w:r>
        <w:t xml:space="preserve">Broadus was born on January 24, 1827 in Culpeper County, Virginia. Raised on </w:t>
      </w:r>
      <w:r w:rsidR="009255A5">
        <w:t>three-hundred-acre</w:t>
      </w:r>
      <w:r>
        <w:t xml:space="preserve"> farm, Broadus spent his childhood days farming</w:t>
      </w:r>
      <w:r w:rsidR="009255A5">
        <w:t>, playing with slave children, and going to school. His father, Major Edmund Broadus, was known throughout the region as a godly Christian politician who served in the legislature for twenty years. Broadus’ mother loved books, music, and showed a great appreciation for the simple things of life. Although the Broadus’ home was not financially wealthy, the variety of life Broadus experienced as a youth was rich in culture, love, and piety.</w:t>
      </w:r>
      <w:r w:rsidR="00A27AFB">
        <w:rPr>
          <w:rStyle w:val="FootnoteReference"/>
        </w:rPr>
        <w:footnoteReference w:id="1"/>
      </w:r>
      <w:r w:rsidR="009255A5">
        <w:t xml:space="preserve"> </w:t>
      </w:r>
    </w:p>
    <w:p w:rsidR="00A017F5" w:rsidRDefault="00A27AFB" w:rsidP="00B204EB">
      <w:pPr>
        <w:spacing w:after="0" w:line="480" w:lineRule="auto"/>
      </w:pPr>
      <w:r>
        <w:tab/>
        <w:t>Broadus’ educational experience began with the teaching of his famous uncle, Albert G. Sims. Known for his incredible teaching, Mr. Sims owned a boarding school six miles from Broadus’ house. During the week</w:t>
      </w:r>
      <w:r w:rsidR="0041369C">
        <w:t>,</w:t>
      </w:r>
      <w:r>
        <w:t xml:space="preserve"> </w:t>
      </w:r>
      <w:r w:rsidR="00C4120E">
        <w:t xml:space="preserve">Broadus </w:t>
      </w:r>
      <w:r>
        <w:t>would live at school and on Friday</w:t>
      </w:r>
      <w:r w:rsidR="00C4120E">
        <w:t xml:space="preserve"> evening, after </w:t>
      </w:r>
      <w:r w:rsidR="00C4120E">
        <w:lastRenderedPageBreak/>
        <w:t>class, Broadus would walk home for the weekend. Broadus’ best subjects were Latin and math, but his favorite between the two subjects was math.</w:t>
      </w:r>
    </w:p>
    <w:p w:rsidR="00A27AFB" w:rsidRDefault="00A017F5" w:rsidP="00B204EB">
      <w:pPr>
        <w:spacing w:after="0" w:line="480" w:lineRule="auto"/>
      </w:pPr>
      <w:r>
        <w:tab/>
        <w:t xml:space="preserve">When Broadus was sixteen, he attended a revival meeting at Mt. </w:t>
      </w:r>
      <w:proofErr w:type="spellStart"/>
      <w:r>
        <w:t>Poney</w:t>
      </w:r>
      <w:proofErr w:type="spellEnd"/>
      <w:r>
        <w:t xml:space="preserve"> Baptist Church. During the </w:t>
      </w:r>
      <w:r w:rsidR="00B12550">
        <w:t>service,</w:t>
      </w:r>
      <w:r>
        <w:t xml:space="preserve"> he professed Jesus Christ as Lord and Savior. Shortly thereafter, he was baptized and joined the church. Sometime later Broadus moved his membership to the New Salem Church where his family were members. From the time of his conversion, Broadus </w:t>
      </w:r>
      <w:r w:rsidR="00B12550">
        <w:t>consistently grew in the grace and knowledge of his Lord.</w:t>
      </w:r>
      <w:r w:rsidR="00C4120E">
        <w:t xml:space="preserve"> </w:t>
      </w:r>
    </w:p>
    <w:p w:rsidR="00B12550" w:rsidRDefault="00B12550" w:rsidP="00B204EB">
      <w:pPr>
        <w:spacing w:after="0" w:line="480" w:lineRule="auto"/>
      </w:pPr>
      <w:r>
        <w:tab/>
        <w:t>One day, at the age of sixteen, Broadus returned home from school with all his belongings. Confused, Major Broadus asked Broadus what was wrong. Broadus responded, “My uncle says he has no further use for me.” Unable to get any more information from Broadus, Major Broadus went to see Mr. Sims. Laughing at the confusion, Mr. Sims assured Major Broadus that there was nothing wrong, but that Broadus had learned all he could teach him.</w:t>
      </w:r>
      <w:r>
        <w:rPr>
          <w:rStyle w:val="FootnoteReference"/>
        </w:rPr>
        <w:footnoteReference w:id="2"/>
      </w:r>
    </w:p>
    <w:p w:rsidR="00641F95" w:rsidRDefault="00B12550" w:rsidP="00B204EB">
      <w:pPr>
        <w:spacing w:after="0" w:line="480" w:lineRule="auto"/>
      </w:pPr>
      <w:r>
        <w:tab/>
        <w:t>After his educational training with Mr. Sims, Broadus was still unsure of his life’</w:t>
      </w:r>
      <w:r w:rsidR="00441635">
        <w:t>s work. He desired a higher education but co</w:t>
      </w:r>
      <w:r w:rsidR="0041369C">
        <w:t xml:space="preserve">uld not afford it. So, </w:t>
      </w:r>
      <w:r w:rsidR="00441635">
        <w:t xml:space="preserve">to raise financial support for the university he began teaching at Rose Hill school in Clarke County in 1844. Initially, Broadus was very discouraged about his progress as a school teacher. He made several mistakes as </w:t>
      </w:r>
      <w:r w:rsidR="0041369C">
        <w:t>a beginning teacher. One morning</w:t>
      </w:r>
      <w:r w:rsidR="00441635">
        <w:t>, two of his students were missing. Concerned for the students, he visited them at home. The mother of the students was very frank with Broadus and told him that she did not believe her girls could learn very well when there was no order in the classroom, and furthermore, that she would not allow her daughters to be the students of such a young inexperienced teacher.</w:t>
      </w:r>
      <w:r w:rsidR="00793081">
        <w:rPr>
          <w:rStyle w:val="FootnoteReference"/>
        </w:rPr>
        <w:footnoteReference w:id="3"/>
      </w:r>
    </w:p>
    <w:p w:rsidR="00B12550" w:rsidRDefault="00641F95" w:rsidP="00B204EB">
      <w:pPr>
        <w:spacing w:after="0" w:line="480" w:lineRule="auto"/>
      </w:pPr>
      <w:r>
        <w:lastRenderedPageBreak/>
        <w:tab/>
        <w:t>Broadus grew from his experiences in teaching and in January, 1845 he took a teaching position at Woodley Seminary. It was during his stay at Woodley that Broadus surrendered to the call to preach. It happened during an Association meeting under the preaching of Dr. A.M. Poindexter. He preached on the “Parable of the Talents” and at intermission Broadus went to his pastor and said that he must try to preach. Understanding the seriousness of a call to preach, Broadus left Clarke County and moved to the University of Virginia to prepare for his newly discovered life’s work.</w:t>
      </w:r>
      <w:r w:rsidR="00441635">
        <w:t xml:space="preserve">  </w:t>
      </w:r>
    </w:p>
    <w:p w:rsidR="00641F95" w:rsidRDefault="00641F95" w:rsidP="00B204EB">
      <w:pPr>
        <w:spacing w:after="0" w:line="480" w:lineRule="auto"/>
      </w:pPr>
      <w:r>
        <w:tab/>
        <w:t>A significant portion of Broadus’ adult life was spent in close connection with the University of Virginia. Highly recognized for its academic standards, the University of Virginia provided one of the hardest and best academic training in the country.</w:t>
      </w:r>
      <w:r w:rsidR="00DD4947">
        <w:t xml:space="preserve"> It was said by Broadus that a student came out of a professor’s office with a smile on his face. Curious about his grade, Broadus </w:t>
      </w:r>
      <w:r w:rsidR="00E130C6">
        <w:t xml:space="preserve">asked if he had passed. Responding with a “no,” he continued and said, “but old </w:t>
      </w:r>
      <w:proofErr w:type="spellStart"/>
      <w:r w:rsidR="00E130C6">
        <w:t>Gess</w:t>
      </w:r>
      <w:proofErr w:type="spellEnd"/>
      <w:r w:rsidR="00E130C6">
        <w:t xml:space="preserve"> said that I came </w:t>
      </w:r>
      <w:proofErr w:type="spellStart"/>
      <w:r w:rsidR="00E130C6">
        <w:t>nigher</w:t>
      </w:r>
      <w:proofErr w:type="spellEnd"/>
      <w:r w:rsidR="00E130C6">
        <w:t xml:space="preserve"> to it than any other fellow that didn’t pass.”</w:t>
      </w:r>
      <w:r w:rsidR="00EE387E">
        <w:rPr>
          <w:rStyle w:val="FootnoteReference"/>
        </w:rPr>
        <w:footnoteReference w:id="4"/>
      </w:r>
    </w:p>
    <w:p w:rsidR="00E130C6" w:rsidRDefault="00E130C6" w:rsidP="00B204EB">
      <w:pPr>
        <w:spacing w:after="0" w:line="480" w:lineRule="auto"/>
      </w:pPr>
      <w:r>
        <w:tab/>
        <w:t>A highlight in Broadus’ university experience was his involvement in the Jefferson Society. A couple of major aspects of the Jefferson Society included debates and the composing and delivering of speeches. Mr. Henry, a recognized debater, claimed that Broadus was the best debater in the Jefferson Society, topping the later to be General Roger A. Pryor. Hon. Wm. Wirt Henry, and F.W.M. Holliday.</w:t>
      </w:r>
      <w:r>
        <w:rPr>
          <w:rStyle w:val="FootnoteReference"/>
        </w:rPr>
        <w:footnoteReference w:id="5"/>
      </w:r>
      <w:r w:rsidR="00EE387E">
        <w:t xml:space="preserve"> Broadus was also awarded the distinguished honor of giving the valedictory address for the Society. Later that year, his speech was published and considered to </w:t>
      </w:r>
      <w:r w:rsidR="00EE387E">
        <w:lastRenderedPageBreak/>
        <w:t>have been “National Literature.”</w:t>
      </w:r>
      <w:r w:rsidR="00EE387E">
        <w:rPr>
          <w:rStyle w:val="FootnoteReference"/>
        </w:rPr>
        <w:footnoteReference w:id="6"/>
      </w:r>
      <w:r w:rsidR="00EE387E">
        <w:t xml:space="preserve"> Broadus left</w:t>
      </w:r>
      <w:r w:rsidR="0041369C">
        <w:t xml:space="preserve"> an</w:t>
      </w:r>
      <w:r w:rsidR="00EE387E">
        <w:t xml:space="preserve"> indelible impression on his peers and faculty. One of his professors said of Broadus, “If genius is the ability and willingness to do hard work, he was a genius.”</w:t>
      </w:r>
      <w:r w:rsidR="00EE387E">
        <w:rPr>
          <w:rStyle w:val="FootnoteReference"/>
        </w:rPr>
        <w:footnoteReference w:id="7"/>
      </w:r>
    </w:p>
    <w:p w:rsidR="00881C19" w:rsidRDefault="00881C19" w:rsidP="00E8059B">
      <w:pPr>
        <w:spacing w:after="0" w:line="480" w:lineRule="auto"/>
      </w:pPr>
      <w:r>
        <w:tab/>
        <w:t xml:space="preserve">On June 4, 1849, Broadus preached his first sermon. Dr. William </w:t>
      </w:r>
      <w:proofErr w:type="spellStart"/>
      <w:r>
        <w:t>McGuffy</w:t>
      </w:r>
      <w:proofErr w:type="spellEnd"/>
      <w:r>
        <w:t xml:space="preserve"> had charge of the Charlottesville Baptist Church, but was sick. So, he asked Broadus to fill his place. Mrs. L. L. Hamilton, sitting in the congregation, writes about Broadus’ sermon, “… I well remember the impression made upon me by its charming simplicity. He had made comprehensible, even, to the mind of a child, great Bible truths.”</w:t>
      </w:r>
      <w:r>
        <w:rPr>
          <w:rStyle w:val="FootnoteReference"/>
        </w:rPr>
        <w:footnoteReference w:id="8"/>
      </w:r>
      <w:r w:rsidR="00E8059B">
        <w:t xml:space="preserve"> </w:t>
      </w:r>
      <w:r>
        <w:t xml:space="preserve">Broadus’ first sermon marked the beginning of a pulpit ministry that would receive more recognition, more fame, and more followers than any American Baptist in the nineteenth century. In his book, </w:t>
      </w:r>
      <w:r>
        <w:rPr>
          <w:i/>
        </w:rPr>
        <w:t>Royalty of the Pulpit</w:t>
      </w:r>
      <w:r>
        <w:t>, Edgar Jones writes, (speaking of Broadus) “No king on his throne had more loyal and willing subjects than did this professor-preacher.”</w:t>
      </w:r>
      <w:r w:rsidR="009E7AFF">
        <w:rPr>
          <w:rStyle w:val="FootnoteReference"/>
        </w:rPr>
        <w:footnoteReference w:id="9"/>
      </w:r>
      <w:r w:rsidR="000414CF">
        <w:t xml:space="preserve"> Dr. A. T. Robertson had this to say about Broadus’ preaching: “It has been my fortune to hear Beecher and Phillips Brooks, Maclaren, Joseph Parker, and Spurgeon, Broadus, Hall and Moody, Broadus Clifford and David Lloyd George. At best and in a congenial atmosphere Broadus was equal of any man I have ever heard.”</w:t>
      </w:r>
      <w:r w:rsidR="000414CF">
        <w:rPr>
          <w:rStyle w:val="FootnoteReference"/>
        </w:rPr>
        <w:footnoteReference w:id="10"/>
      </w:r>
    </w:p>
    <w:p w:rsidR="000414CF" w:rsidRDefault="000414CF" w:rsidP="00B204EB">
      <w:pPr>
        <w:spacing w:after="0" w:line="480" w:lineRule="auto"/>
      </w:pPr>
      <w:r>
        <w:tab/>
        <w:t xml:space="preserve">In his book, </w:t>
      </w:r>
      <w:r>
        <w:rPr>
          <w:i/>
        </w:rPr>
        <w:t>Favorite Sermons of John A. Broadus</w:t>
      </w:r>
      <w:r>
        <w:t xml:space="preserve">, Vernon Stanfield gives four factors that contributed to Broadus’ power in preaching. First was his devotion to God’s message. In one </w:t>
      </w:r>
      <w:r>
        <w:lastRenderedPageBreak/>
        <w:t>of his sermons Broadus said, “The greatest privilege of earthly life is to give some fellow creature the blessed Word of God, and then try by loving speech and example, to bring home to the heart and conscience … the truths it contains</w:t>
      </w:r>
      <w:r w:rsidR="00825486">
        <w:t>.”</w:t>
      </w:r>
      <w:r w:rsidR="00825486">
        <w:rPr>
          <w:rStyle w:val="FootnoteReference"/>
        </w:rPr>
        <w:footnoteReference w:id="11"/>
      </w:r>
      <w:r w:rsidR="00825486">
        <w:t xml:space="preserve"> Second, was the simplicity of his preaching. According to Broadus, perspicuity is the most important element of style. He also said, “A preacher is more solemnly bound than any other person, to make his language perspicuous. This is very important in wording a law, in writing a title-deed, or a physician’s prescription, but still more important in proclaiming the Word of God, words of eternal life.”</w:t>
      </w:r>
      <w:r w:rsidR="00825486">
        <w:rPr>
          <w:rStyle w:val="FootnoteReference"/>
        </w:rPr>
        <w:footnoteReference w:id="12"/>
      </w:r>
      <w:r w:rsidR="00825486">
        <w:t xml:space="preserve"> Third, was his conscious purpose to lead hearers to some spiritual decision. Broadus wrote in </w:t>
      </w:r>
      <w:r w:rsidR="00825486">
        <w:rPr>
          <w:i/>
        </w:rPr>
        <w:t>A Treatise on the Preparation and Delivery of Sermons</w:t>
      </w:r>
      <w:r w:rsidR="00825486">
        <w:t>, that there must be a powerful impulse upon the will; the hearer must feel smitten, stirred, moved to, or at least towards, some action or determination to act.</w:t>
      </w:r>
      <w:r w:rsidR="00825486">
        <w:rPr>
          <w:rStyle w:val="FootnoteReference"/>
        </w:rPr>
        <w:footnoteReference w:id="13"/>
      </w:r>
      <w:r w:rsidR="0014691D">
        <w:t xml:space="preserve"> Fourth, was his method of preparation and delivery. Broadus enjoyed speaking over writing as a mode of self-expression. Early in his ministry Broadus determined to master the technique of preaching. Before entering the pulpit. He would master his subject. His vast general knowledge also contributed to a variety of ways in which he expressed himself in the pulpit. Rarely did Broadus take sermon notes into the pulpit. Mrs. A. T. Robertson, Broadus’ daughter, recalls that her dad forgot to leave his notes at home one Sunday. That morning before entering the pulpit, he turned to her and said, “Daughter, I forgot to leave my notes at home. Will you keep them until after the services?”</w:t>
      </w:r>
      <w:r w:rsidR="0014691D">
        <w:rPr>
          <w:rStyle w:val="FootnoteReference"/>
        </w:rPr>
        <w:footnoteReference w:id="14"/>
      </w:r>
      <w:r w:rsidR="0014691D">
        <w:t xml:space="preserve"> Some criticized Broadus’ method, feeling he should have </w:t>
      </w:r>
      <w:r w:rsidR="0014691D">
        <w:lastRenderedPageBreak/>
        <w:t xml:space="preserve">written out a full manuscript; however, </w:t>
      </w:r>
      <w:r w:rsidR="00FF008E">
        <w:t>for him, it meant a free choice of words while preaching, which only came after careful preparation.</w:t>
      </w:r>
      <w:r w:rsidR="00FF008E">
        <w:rPr>
          <w:rStyle w:val="FootnoteReference"/>
        </w:rPr>
        <w:footnoteReference w:id="15"/>
      </w:r>
      <w:r w:rsidR="00825486">
        <w:t xml:space="preserve"> </w:t>
      </w:r>
    </w:p>
    <w:p w:rsidR="00FF008E" w:rsidRDefault="00FF008E" w:rsidP="00B204EB">
      <w:pPr>
        <w:spacing w:after="0" w:line="480" w:lineRule="auto"/>
      </w:pPr>
      <w:r>
        <w:tab/>
        <w:t>In September of 1851</w:t>
      </w:r>
      <w:r w:rsidR="0041369C">
        <w:t>,</w:t>
      </w:r>
      <w:r>
        <w:t xml:space="preserve"> Broadus accepted the invitation to pastor Charlottesville Baptist Church in Virginia. He stayed there until August, 1859. During his tenure, Broadus was married, widowed, remarrie</w:t>
      </w:r>
      <w:r w:rsidR="00C342C1">
        <w:t>d, and elected as professor at T</w:t>
      </w:r>
      <w:r>
        <w:t>he Southern Baptist Theological Seminary. Initially, Broadus declined the offer to teach at the seminary, but in April of 1859 the provisional committee nominated him again, and Broadus humbly accepted.</w:t>
      </w:r>
      <w:r>
        <w:rPr>
          <w:rStyle w:val="FootnoteReference"/>
        </w:rPr>
        <w:footnoteReference w:id="16"/>
      </w:r>
    </w:p>
    <w:p w:rsidR="00A96D1A" w:rsidRDefault="00FF008E" w:rsidP="00A96D1A">
      <w:pPr>
        <w:spacing w:after="0" w:line="480" w:lineRule="auto"/>
      </w:pPr>
      <w:r>
        <w:tab/>
        <w:t xml:space="preserve">Broadus </w:t>
      </w:r>
      <w:r w:rsidR="0041369C">
        <w:t>was among the first faculty of T</w:t>
      </w:r>
      <w:r>
        <w:t>he Southern Baptist Theological Seminary</w:t>
      </w:r>
      <w:r w:rsidR="00A96D1A">
        <w:t>, which opened in Greenville, South Carolina in 1859. For the next thirty-six years</w:t>
      </w:r>
      <w:r w:rsidR="0041369C">
        <w:t>,</w:t>
      </w:r>
      <w:r w:rsidR="00A96D1A">
        <w:t xml:space="preserve"> Broadus would serve as Professor of New Testament Interpretation and Homiletics. The seminary’s progress stopped in 1861 when the Civil War forced the seminary to close. Four years later the seminary reopened, only this time to face tremendous hardship. With few students, and no endowment, the well-being of the seminary faced dark times. Displaying his character and commitment to the seminary, Broadus stated, “Perhaps the Seminary may die, but let us resolve to die first.”</w:t>
      </w:r>
      <w:r w:rsidR="00A96D1A">
        <w:rPr>
          <w:rStyle w:val="FootnoteReference"/>
        </w:rPr>
        <w:footnoteReference w:id="17"/>
      </w:r>
    </w:p>
    <w:p w:rsidR="00A266BC" w:rsidRDefault="00A96D1A" w:rsidP="00A266BC">
      <w:pPr>
        <w:spacing w:after="0" w:line="480" w:lineRule="auto"/>
      </w:pPr>
      <w:r>
        <w:tab/>
        <w:t>In 1877, the seminary moved to Louisville, Kentucky. With better conditions, Broadus and the seminary’s first president, James P. Boyce</w:t>
      </w:r>
      <w:r w:rsidR="00185FB1">
        <w:t>,</w:t>
      </w:r>
      <w:r>
        <w:t xml:space="preserve"> devoted the remainder of their lives to establishing a firm theological and financial foundation for the school. In 1889, Boyce died. For the </w:t>
      </w:r>
      <w:r w:rsidR="00870E08">
        <w:t>next six</w:t>
      </w:r>
      <w:r w:rsidR="00A266BC">
        <w:t xml:space="preserve"> years</w:t>
      </w:r>
      <w:r w:rsidR="00F87F94">
        <w:t>,</w:t>
      </w:r>
      <w:r w:rsidR="00A266BC">
        <w:t xml:space="preserve"> </w:t>
      </w:r>
      <w:r w:rsidR="00870E08">
        <w:t>Broadus would reside as the seminary’s second president</w:t>
      </w:r>
      <w:r w:rsidR="00A266BC">
        <w:t xml:space="preserve"> until his death in 1895. At Broadus’ funeral, W. H. </w:t>
      </w:r>
      <w:proofErr w:type="spellStart"/>
      <w:r w:rsidR="00A266BC">
        <w:t>Whitsett</w:t>
      </w:r>
      <w:proofErr w:type="spellEnd"/>
      <w:r w:rsidR="00A266BC">
        <w:t xml:space="preserve">, the third President of The Southern Baptist </w:t>
      </w:r>
      <w:r w:rsidR="00A266BC">
        <w:lastRenderedPageBreak/>
        <w:t>Theological Seminary, remarked, “He was always first wherever he chose to stand at all. He was first among the Baptists of the South, of our entire country, of the world. In the elevation of his character, the splendor of his genius, and the extent of his attainments, he towered above us all, almost above our conceptions.”</w:t>
      </w:r>
      <w:r w:rsidR="00A266BC">
        <w:rPr>
          <w:rStyle w:val="FootnoteReference"/>
        </w:rPr>
        <w:footnoteReference w:id="18"/>
      </w:r>
      <w:r w:rsidR="00A266BC">
        <w:t xml:space="preserve"> </w:t>
      </w:r>
    </w:p>
    <w:p w:rsidR="00E8059B" w:rsidRPr="00E8059B" w:rsidRDefault="00E8059B" w:rsidP="00E8059B">
      <w:pPr>
        <w:spacing w:after="0" w:line="480" w:lineRule="auto"/>
        <w:jc w:val="center"/>
        <w:rPr>
          <w:b/>
        </w:rPr>
      </w:pPr>
      <w:r w:rsidRPr="00E8059B">
        <w:rPr>
          <w:b/>
        </w:rPr>
        <w:t>Broadus’</w:t>
      </w:r>
      <w:r w:rsidR="00F87F94">
        <w:rPr>
          <w:b/>
        </w:rPr>
        <w:t xml:space="preserve"> Contribution</w:t>
      </w:r>
      <w:r w:rsidRPr="00E8059B">
        <w:rPr>
          <w:b/>
        </w:rPr>
        <w:t xml:space="preserve"> on</w:t>
      </w:r>
      <w:r w:rsidR="00F87F94">
        <w:rPr>
          <w:b/>
        </w:rPr>
        <w:t xml:space="preserve"> the</w:t>
      </w:r>
      <w:r w:rsidRPr="00E8059B">
        <w:rPr>
          <w:b/>
        </w:rPr>
        <w:t xml:space="preserve"> field of Homiletics </w:t>
      </w:r>
    </w:p>
    <w:p w:rsidR="00261728" w:rsidRDefault="00387EA9" w:rsidP="00210DEA">
      <w:pPr>
        <w:spacing w:after="0" w:line="480" w:lineRule="auto"/>
        <w:ind w:firstLine="720"/>
      </w:pPr>
      <w:r>
        <w:t>The cont</w:t>
      </w:r>
      <w:r w:rsidR="00034F50">
        <w:t>ributions of Broadus to evangelical</w:t>
      </w:r>
      <w:r>
        <w:t xml:space="preserve"> Christianity </w:t>
      </w:r>
      <w:r w:rsidR="00210DEA">
        <w:t>are too numerous to address</w:t>
      </w:r>
      <w:r w:rsidR="0010307D">
        <w:t xml:space="preserve"> all of them</w:t>
      </w:r>
      <w:r w:rsidR="00F87F94">
        <w:t xml:space="preserve"> </w:t>
      </w:r>
      <w:r w:rsidR="00210DEA">
        <w:t xml:space="preserve">given the scope of this paper. </w:t>
      </w:r>
      <w:r>
        <w:t xml:space="preserve">Even when focusing just </w:t>
      </w:r>
      <w:r w:rsidR="00D35726">
        <w:t>on</w:t>
      </w:r>
      <w:r>
        <w:t xml:space="preserve"> his sermons and </w:t>
      </w:r>
      <w:r w:rsidR="005F0243">
        <w:t xml:space="preserve">homiletical </w:t>
      </w:r>
      <w:r>
        <w:t>textbook</w:t>
      </w:r>
      <w:r w:rsidR="0010307D">
        <w:t>,</w:t>
      </w:r>
      <w:r w:rsidR="005F0243">
        <w:t xml:space="preserve"> </w:t>
      </w:r>
      <w:r>
        <w:t xml:space="preserve">it </w:t>
      </w:r>
      <w:r w:rsidR="005D1A7D">
        <w:t xml:space="preserve">is difficult to measure </w:t>
      </w:r>
      <w:r w:rsidR="00AA660C">
        <w:t xml:space="preserve">the magnitude of </w:t>
      </w:r>
      <w:r w:rsidR="005D1A7D">
        <w:t>Broadus’ influence</w:t>
      </w:r>
      <w:r w:rsidR="00D35726">
        <w:t xml:space="preserve"> </w:t>
      </w:r>
      <w:r w:rsidR="005D1A7D">
        <w:t>within and beyond the Southern Baptist Convention.</w:t>
      </w:r>
      <w:r w:rsidR="00034F50">
        <w:t xml:space="preserve"> Nevertheless, Broadus’ impact</w:t>
      </w:r>
      <w:r w:rsidR="00DA6D81">
        <w:t xml:space="preserve"> on the Christian faith</w:t>
      </w:r>
      <w:r w:rsidR="00034F50">
        <w:t xml:space="preserve"> should not go unstated.</w:t>
      </w:r>
      <w:r w:rsidR="00F87F94">
        <w:t xml:space="preserve"> For example, i</w:t>
      </w:r>
      <w:r w:rsidR="004A42D0">
        <w:t xml:space="preserve">n his book, </w:t>
      </w:r>
      <w:r w:rsidR="004A42D0">
        <w:rPr>
          <w:i/>
        </w:rPr>
        <w:t>With A Bible in Their</w:t>
      </w:r>
      <w:r w:rsidR="004A42D0" w:rsidRPr="009D378E">
        <w:rPr>
          <w:i/>
        </w:rPr>
        <w:t xml:space="preserve"> Hands</w:t>
      </w:r>
      <w:r w:rsidR="004A42D0">
        <w:rPr>
          <w:i/>
        </w:rPr>
        <w:t xml:space="preserve">, </w:t>
      </w:r>
      <w:r>
        <w:t xml:space="preserve">Al </w:t>
      </w:r>
      <w:proofErr w:type="spellStart"/>
      <w:r>
        <w:t>Fasol</w:t>
      </w:r>
      <w:proofErr w:type="spellEnd"/>
      <w:r>
        <w:t xml:space="preserve"> remarks about </w:t>
      </w:r>
      <w:r w:rsidR="004A42D0">
        <w:t>Broadus</w:t>
      </w:r>
      <w:r>
        <w:t>’ greatness</w:t>
      </w:r>
      <w:r w:rsidR="00034F50">
        <w:t xml:space="preserve">. </w:t>
      </w:r>
      <w:r>
        <w:t>He writes</w:t>
      </w:r>
      <w:r w:rsidR="004A42D0">
        <w:t>, “Generations of preachers— Southern Baptist and many others as well— have stood and now stand on the shoulders of John A. Broadus.”</w:t>
      </w:r>
      <w:r w:rsidR="004A42D0">
        <w:rPr>
          <w:rStyle w:val="FootnoteReference"/>
        </w:rPr>
        <w:footnoteReference w:id="19"/>
      </w:r>
      <w:r w:rsidR="005F0243">
        <w:t xml:space="preserve"> In harmony</w:t>
      </w:r>
      <w:r w:rsidR="00384F42">
        <w:t xml:space="preserve"> with </w:t>
      </w:r>
      <w:proofErr w:type="spellStart"/>
      <w:r w:rsidR="00384F42">
        <w:t>Fasol’s</w:t>
      </w:r>
      <w:proofErr w:type="spellEnd"/>
      <w:r w:rsidR="00384F42">
        <w:t xml:space="preserve"> sentiments, Timoth</w:t>
      </w:r>
      <w:r w:rsidR="00DA6D81">
        <w:t>y George wri</w:t>
      </w:r>
      <w:r w:rsidR="00384F42">
        <w:t>te</w:t>
      </w:r>
      <w:r w:rsidR="00DA6D81">
        <w:t>s</w:t>
      </w:r>
      <w:r w:rsidR="00384F42">
        <w:t xml:space="preserve"> about Broadus, “Nearly 115 years after his death, it is time to revisit the legacy of John Albert Broadus, a titanic figure in the history of the evangelical church and a prince of the pulpit who, in his own day, “girdled the globe with his influence.”</w:t>
      </w:r>
      <w:r w:rsidR="00774CB0">
        <w:rPr>
          <w:rStyle w:val="FootnoteReference"/>
        </w:rPr>
        <w:footnoteReference w:id="20"/>
      </w:r>
      <w:r w:rsidR="005F0243">
        <w:t xml:space="preserve"> </w:t>
      </w:r>
    </w:p>
    <w:p w:rsidR="00D310F7" w:rsidRDefault="005F0243" w:rsidP="00261728">
      <w:pPr>
        <w:spacing w:after="0" w:line="480" w:lineRule="auto"/>
        <w:ind w:firstLine="720"/>
      </w:pPr>
      <w:r>
        <w:t>Out of the many contributions Broadus’s gave to Christianity, his textbook on preaching,</w:t>
      </w:r>
      <w:r w:rsidR="00C676C3">
        <w:t xml:space="preserve"> </w:t>
      </w:r>
      <w:r w:rsidR="00C676C3">
        <w:rPr>
          <w:i/>
        </w:rPr>
        <w:t>A Treatise on the</w:t>
      </w:r>
      <w:r>
        <w:t xml:space="preserve"> </w:t>
      </w:r>
      <w:r w:rsidRPr="009D378E">
        <w:rPr>
          <w:i/>
        </w:rPr>
        <w:t>Preparation and Delivery of Sermons</w:t>
      </w:r>
      <w:r w:rsidR="00582186">
        <w:t xml:space="preserve"> has made the greatest</w:t>
      </w:r>
      <w:r w:rsidR="00261728">
        <w:t xml:space="preserve"> impact. Pastors, </w:t>
      </w:r>
      <w:r w:rsidR="007660D3">
        <w:t>scholars</w:t>
      </w:r>
      <w:r w:rsidR="00261728">
        <w:t>, and students have</w:t>
      </w:r>
      <w:r w:rsidR="002B2563">
        <w:t xml:space="preserve"> </w:t>
      </w:r>
      <w:r w:rsidR="007660D3">
        <w:t>used Broadus’</w:t>
      </w:r>
      <w:r w:rsidR="002B2563">
        <w:t xml:space="preserve"> text on preaching</w:t>
      </w:r>
      <w:r w:rsidR="007660D3">
        <w:t xml:space="preserve"> for over a hundred years.</w:t>
      </w:r>
      <w:r w:rsidR="00FD0B21">
        <w:t xml:space="preserve"> J. B. </w:t>
      </w:r>
      <w:r w:rsidR="00FD0B21">
        <w:lastRenderedPageBreak/>
        <w:t>Weatherspoon, responsible for the new and revised addition of Broadus’</w:t>
      </w:r>
      <w:r w:rsidR="005200C0">
        <w:t xml:space="preserve"> text commented, “…the book [</w:t>
      </w:r>
      <w:r w:rsidR="005200C0">
        <w:rPr>
          <w:i/>
        </w:rPr>
        <w:t>Preparation and Delivery of Sermons</w:t>
      </w:r>
      <w:r w:rsidR="005200C0">
        <w:t>] has been in constant and increasing use since its first appearance and after three quarters of a century remains the outstanding text-book of Homiletics is full justification for its continuance.”</w:t>
      </w:r>
      <w:r w:rsidR="005200C0">
        <w:rPr>
          <w:rStyle w:val="FootnoteReference"/>
        </w:rPr>
        <w:footnoteReference w:id="21"/>
      </w:r>
      <w:r w:rsidR="008170B2">
        <w:t xml:space="preserve"> Interestingly, </w:t>
      </w:r>
      <w:r w:rsidR="00D310F7">
        <w:t xml:space="preserve">Broadus </w:t>
      </w:r>
      <w:r w:rsidR="008170B2">
        <w:t>had to publish</w:t>
      </w:r>
      <w:r w:rsidR="000F0EA1">
        <w:t xml:space="preserve"> his text</w:t>
      </w:r>
      <w:r w:rsidR="00D310F7">
        <w:t>book at his own expense. Edwin Dargan writes, “The author [Broadus] had to mortgage some property and borrow money for the making of the original plates</w:t>
      </w:r>
      <w:r w:rsidR="008170B2">
        <w:t>… The book paid for itself in a year or two.”</w:t>
      </w:r>
      <w:r w:rsidR="008170B2">
        <w:rPr>
          <w:rStyle w:val="FootnoteReference"/>
        </w:rPr>
        <w:footnoteReference w:id="22"/>
      </w:r>
      <w:r w:rsidR="004870D3">
        <w:t xml:space="preserve"> Dargan further explained that n</w:t>
      </w:r>
      <w:r w:rsidR="00D310F7">
        <w:t>early 40,000 co</w:t>
      </w:r>
      <w:r w:rsidR="004870D3">
        <w:t xml:space="preserve">pies of Broadus’ work had been printed </w:t>
      </w:r>
      <w:r w:rsidR="00E42D09">
        <w:t>and passed through 26</w:t>
      </w:r>
      <w:r w:rsidR="00D310F7">
        <w:t xml:space="preserve"> editions</w:t>
      </w:r>
      <w:r w:rsidR="00E42D09">
        <w:t xml:space="preserve"> for it was revised.</w:t>
      </w:r>
      <w:r w:rsidR="00E42D09">
        <w:rPr>
          <w:rStyle w:val="FootnoteReference"/>
        </w:rPr>
        <w:footnoteReference w:id="23"/>
      </w:r>
      <w:r w:rsidR="00E42D09">
        <w:t xml:space="preserve"> It </w:t>
      </w:r>
      <w:r w:rsidR="004870D3">
        <w:t xml:space="preserve">has also </w:t>
      </w:r>
      <w:r w:rsidR="00D310F7">
        <w:t>been translated into Japanese, Chinese, Portuguese (for mis</w:t>
      </w:r>
      <w:r w:rsidR="00E42D09">
        <w:t xml:space="preserve">sions in Brazil), and </w:t>
      </w:r>
      <w:r w:rsidR="004A42D0">
        <w:t>Burmese, according to James Barron</w:t>
      </w:r>
      <w:r w:rsidR="00E42D09">
        <w:t>.</w:t>
      </w:r>
      <w:r w:rsidR="00E42D09">
        <w:rPr>
          <w:rStyle w:val="FootnoteReference"/>
        </w:rPr>
        <w:footnoteReference w:id="24"/>
      </w:r>
      <w:r w:rsidR="0083488E">
        <w:t xml:space="preserve"> S</w:t>
      </w:r>
      <w:r w:rsidR="00E66A62">
        <w:t xml:space="preserve">cholars and historians </w:t>
      </w:r>
      <w:r w:rsidR="00D310F7">
        <w:t>have estimated that Broadus’ book has received the widest use of all textbooks in homiletics in the English language.</w:t>
      </w:r>
      <w:r w:rsidR="00D310F7">
        <w:rPr>
          <w:rStyle w:val="FootnoteReference"/>
        </w:rPr>
        <w:footnoteReference w:id="25"/>
      </w:r>
      <w:r w:rsidR="00D310F7">
        <w:t xml:space="preserve"> </w:t>
      </w:r>
      <w:r w:rsidR="00E66A62">
        <w:t>Moreover, Broadus’ b</w:t>
      </w:r>
      <w:r w:rsidR="0083488E">
        <w:t>ook was the leading textbook on h</w:t>
      </w:r>
      <w:r w:rsidR="00E66A62">
        <w:t xml:space="preserve">omiletics in all the world </w:t>
      </w:r>
      <w:r w:rsidR="004A42D0">
        <w:t>in the early 20</w:t>
      </w:r>
      <w:r w:rsidR="004A42D0" w:rsidRPr="004A42D0">
        <w:rPr>
          <w:vertAlign w:val="superscript"/>
        </w:rPr>
        <w:t>th</w:t>
      </w:r>
      <w:r w:rsidR="004A42D0">
        <w:t xml:space="preserve"> century.</w:t>
      </w:r>
      <w:r w:rsidR="004A42D0">
        <w:rPr>
          <w:rStyle w:val="FootnoteReference"/>
        </w:rPr>
        <w:footnoteReference w:id="26"/>
      </w:r>
      <w:r w:rsidR="00E66A62">
        <w:t xml:space="preserve"> </w:t>
      </w:r>
      <w:r w:rsidR="00D310F7">
        <w:t xml:space="preserve">In 1960, it was being </w:t>
      </w:r>
      <w:r w:rsidR="00D310F7">
        <w:lastRenderedPageBreak/>
        <w:t>used as a textbook in the basic course at seven Baptist seminaries and one non-Baptist seminary in Ame</w:t>
      </w:r>
      <w:r w:rsidR="00B2502A">
        <w:t>rica.</w:t>
      </w:r>
      <w:r w:rsidR="00B2502A">
        <w:rPr>
          <w:rStyle w:val="FootnoteReference"/>
        </w:rPr>
        <w:footnoteReference w:id="27"/>
      </w:r>
    </w:p>
    <w:p w:rsidR="00582186" w:rsidRPr="00582186" w:rsidRDefault="00582186" w:rsidP="00582186">
      <w:pPr>
        <w:spacing w:after="0" w:line="480" w:lineRule="auto"/>
        <w:ind w:firstLine="720"/>
        <w:jc w:val="center"/>
        <w:rPr>
          <w:b/>
          <w:i/>
        </w:rPr>
      </w:pPr>
      <w:r w:rsidRPr="00582186">
        <w:rPr>
          <w:b/>
        </w:rPr>
        <w:t xml:space="preserve">Key Elements of </w:t>
      </w:r>
      <w:r w:rsidRPr="00582186">
        <w:rPr>
          <w:b/>
          <w:i/>
        </w:rPr>
        <w:t>Preparation and Delivery of Sermons</w:t>
      </w:r>
    </w:p>
    <w:p w:rsidR="000F0EA1" w:rsidRDefault="00582186" w:rsidP="00261728">
      <w:pPr>
        <w:spacing w:after="0" w:line="480" w:lineRule="auto"/>
        <w:ind w:firstLine="720"/>
      </w:pPr>
      <w:r>
        <w:t>Because Broadus’ textbook on preaching is con</w:t>
      </w:r>
      <w:r w:rsidR="008471F7">
        <w:t xml:space="preserve">sidered a classic </w:t>
      </w:r>
      <w:r w:rsidR="0042302D">
        <w:t>it is paramount</w:t>
      </w:r>
      <w:r>
        <w:t xml:space="preserve"> to consider several key elements of the book. Other areas</w:t>
      </w:r>
      <w:r w:rsidR="0042302D">
        <w:t xml:space="preserve"> of the book </w:t>
      </w:r>
      <w:r>
        <w:t>will</w:t>
      </w:r>
      <w:r w:rsidR="0010307D">
        <w:t xml:space="preserve"> also</w:t>
      </w:r>
      <w:r>
        <w:t xml:space="preserve"> be discussed during the evaluation of Broadus’ sermon. </w:t>
      </w:r>
      <w:r w:rsidR="000945CA">
        <w:t xml:space="preserve"> </w:t>
      </w:r>
    </w:p>
    <w:p w:rsidR="00C103B4" w:rsidRDefault="00C103B4" w:rsidP="009E02C6">
      <w:pPr>
        <w:spacing w:after="0" w:line="480" w:lineRule="auto"/>
        <w:ind w:firstLine="720"/>
      </w:pPr>
      <w:r>
        <w:t>Broadus’</w:t>
      </w:r>
      <w:r w:rsidR="0042302D">
        <w:t xml:space="preserve"> begins his boo</w:t>
      </w:r>
      <w:r w:rsidR="0010307D">
        <w:t>k with an introduction</w:t>
      </w:r>
      <w:r w:rsidR="0042302D">
        <w:t xml:space="preserve"> that is divided </w:t>
      </w:r>
      <w:r>
        <w:t>into seven sectio</w:t>
      </w:r>
      <w:r w:rsidR="0042302D">
        <w:t>ns. They are:</w:t>
      </w:r>
      <w:r>
        <w:t xml:space="preserve"> (1) Importance of Preaching and Difficulty of Preaching Well; (2) Nature of Eloquence; (3) Requisites to</w:t>
      </w:r>
      <w:r w:rsidRPr="00C103B4">
        <w:t xml:space="preserve"> </w:t>
      </w:r>
      <w:r>
        <w:t>Effectiv</w:t>
      </w:r>
      <w:r w:rsidR="009E02C6">
        <w:t>e Preaching;</w:t>
      </w:r>
      <w:r>
        <w:t xml:space="preserve"> (4) </w:t>
      </w:r>
      <w:r w:rsidR="009E02C6">
        <w:t>Origin of the Rules of Rhetoric;</w:t>
      </w:r>
      <w:r>
        <w:t xml:space="preserve"> (5) Dangers of Rhetorical </w:t>
      </w:r>
      <w:r w:rsidR="009E02C6">
        <w:t xml:space="preserve">Studies; </w:t>
      </w:r>
      <w:r>
        <w:t>(6) Relation of Homiletics to Rhetoric, and</w:t>
      </w:r>
      <w:r w:rsidR="009E02C6">
        <w:t>;</w:t>
      </w:r>
      <w:r>
        <w:t xml:space="preserve"> (7) Literature of Homiletics.</w:t>
      </w:r>
      <w:r w:rsidR="00805BD5">
        <w:t xml:space="preserve"> Each section provides the reader with a broad understanding of the subject being addressed.</w:t>
      </w:r>
    </w:p>
    <w:p w:rsidR="009E02C6" w:rsidRDefault="0042302D" w:rsidP="009E02C6">
      <w:pPr>
        <w:spacing w:after="0" w:line="480" w:lineRule="auto"/>
        <w:ind w:firstLine="720"/>
      </w:pPr>
      <w:r>
        <w:t xml:space="preserve">The core purpose of preaching, </w:t>
      </w:r>
      <w:r w:rsidR="009E02C6">
        <w:t>according to Broadus</w:t>
      </w:r>
      <w:r w:rsidR="00C34AD2">
        <w:t>,</w:t>
      </w:r>
      <w:r w:rsidR="009E02C6">
        <w:t xml:space="preserve"> </w:t>
      </w:r>
      <w:r w:rsidR="00C34AD2">
        <w:t>is</w:t>
      </w:r>
      <w:r>
        <w:t xml:space="preserve"> that it is chief medium</w:t>
      </w:r>
      <w:r w:rsidR="00C34AD2">
        <w:t xml:space="preserve"> by which the gospel is spread. He writes in the introduction, “The great appointed means of spreading the good tidings of salvation through Christ is preaching – words spoken to the individual or to the assembly. And this nothing can supersede…”</w:t>
      </w:r>
      <w:r w:rsidR="00C34AD2">
        <w:rPr>
          <w:rStyle w:val="FootnoteReference"/>
        </w:rPr>
        <w:footnoteReference w:id="28"/>
      </w:r>
      <w:r w:rsidR="00C34AD2">
        <w:t xml:space="preserve"> Indeed, there is no greater method to communicate the messag</w:t>
      </w:r>
      <w:r w:rsidR="0010307D">
        <w:t xml:space="preserve">e of Jesus Christ than </w:t>
      </w:r>
      <w:r w:rsidR="00C34AD2">
        <w:t>preaching</w:t>
      </w:r>
      <w:r w:rsidR="0010307D">
        <w:t>. Thus</w:t>
      </w:r>
      <w:r w:rsidR="00975E9D">
        <w:t xml:space="preserve">, it essential for the preacher to adhere to the Apostle Paul’s words, “Give diligence to show thyself approved unto God, a workman that </w:t>
      </w:r>
      <w:proofErr w:type="spellStart"/>
      <w:r w:rsidR="00975E9D">
        <w:t>needeth</w:t>
      </w:r>
      <w:proofErr w:type="spellEnd"/>
      <w:r w:rsidR="00975E9D">
        <w:t xml:space="preserve"> not be ashamed, rightly dividing the word of truth.”</w:t>
      </w:r>
      <w:r w:rsidR="00975E9D">
        <w:rPr>
          <w:rStyle w:val="FootnoteReference"/>
        </w:rPr>
        <w:footnoteReference w:id="29"/>
      </w:r>
      <w:r w:rsidR="00975E9D">
        <w:t xml:space="preserve"> </w:t>
      </w:r>
      <w:r w:rsidR="00C34AD2">
        <w:t xml:space="preserve"> </w:t>
      </w:r>
    </w:p>
    <w:p w:rsidR="00D66BFF" w:rsidRDefault="0042302D" w:rsidP="0042302D">
      <w:pPr>
        <w:spacing w:after="0" w:line="480" w:lineRule="auto"/>
        <w:ind w:firstLine="720"/>
      </w:pPr>
      <w:r>
        <w:lastRenderedPageBreak/>
        <w:t xml:space="preserve">How does Broadus define preaching? </w:t>
      </w:r>
      <w:r w:rsidR="00D66BFF">
        <w:t>It is important to note that Broadus was significantly influenced by the classical cannons of rhetoric when defining preaching. David A. Smi</w:t>
      </w:r>
      <w:r w:rsidR="005B0388">
        <w:t xml:space="preserve">th </w:t>
      </w:r>
      <w:r w:rsidR="00186BD2">
        <w:t xml:space="preserve">speaks to that influence when </w:t>
      </w:r>
      <w:r w:rsidR="00D66BFF">
        <w:t xml:space="preserve">He writes:  </w:t>
      </w:r>
    </w:p>
    <w:p w:rsidR="00D66BFF" w:rsidRDefault="00D66BFF" w:rsidP="00D66BFF">
      <w:pPr>
        <w:spacing w:after="0" w:line="240" w:lineRule="auto"/>
        <w:ind w:left="720"/>
      </w:pPr>
      <w:r>
        <w:t xml:space="preserve">The classical canons of rhetoric that have dominated homiletics since the days of Augustine have survived in twentieth-century Southern Baptist preaching largely through Broadus's influence. One can trace this rhetorical lineage from the fourth century B.C. to the present through acknowledgements found in the first edition of </w:t>
      </w:r>
      <w:r w:rsidRPr="00ED43C3">
        <w:rPr>
          <w:i/>
        </w:rPr>
        <w:t xml:space="preserve">A Treatise on the Preparation and Delivery of Sermons </w:t>
      </w:r>
      <w:r>
        <w:t>and in preaching textbooks written or revised by Broadus's homiletical heirs…</w:t>
      </w:r>
      <w:r>
        <w:rPr>
          <w:rStyle w:val="FootnoteReference"/>
        </w:rPr>
        <w:footnoteReference w:id="30"/>
      </w:r>
      <w:r>
        <w:t xml:space="preserve"> In his preface, Broadus acknowledged the inspiration that the classical rhetoricians provided for his homiletical theory: “The author's chief indebtedness for help has been to Aristotle, Cicero, and Quintilian, and to </w:t>
      </w:r>
      <w:proofErr w:type="spellStart"/>
      <w:r>
        <w:t>Whately</w:t>
      </w:r>
      <w:proofErr w:type="spellEnd"/>
      <w:r>
        <w:t xml:space="preserve"> and </w:t>
      </w:r>
      <w:proofErr w:type="spellStart"/>
      <w:r>
        <w:t>Vinet</w:t>
      </w:r>
      <w:proofErr w:type="spellEnd"/>
      <w:r>
        <w:t>. The two last (together with Ripley) h</w:t>
      </w:r>
      <w:r w:rsidR="00186BD2">
        <w:t xml:space="preserve">ad been his text-books, - </w:t>
      </w:r>
      <w:r>
        <w:t>and copious extracts are made from them on certain subjects.”</w:t>
      </w:r>
      <w:r>
        <w:rPr>
          <w:rStyle w:val="FootnoteReference"/>
        </w:rPr>
        <w:footnoteReference w:id="31"/>
      </w:r>
    </w:p>
    <w:p w:rsidR="00D66BFF" w:rsidRDefault="00D66BFF" w:rsidP="00D66BFF">
      <w:pPr>
        <w:spacing w:after="0" w:line="480" w:lineRule="auto"/>
      </w:pPr>
    </w:p>
    <w:p w:rsidR="00D66BFF" w:rsidRDefault="00D66BFF" w:rsidP="00805BD5">
      <w:pPr>
        <w:spacing w:after="0" w:line="480" w:lineRule="auto"/>
      </w:pPr>
      <w:r>
        <w:t>Broadus categ</w:t>
      </w:r>
      <w:r w:rsidR="005B0388">
        <w:t xml:space="preserve">orized preaching as a part of the </w:t>
      </w:r>
      <w:r>
        <w:t>broader field of eloquen</w:t>
      </w:r>
      <w:r w:rsidR="005B0388">
        <w:t xml:space="preserve">ce. </w:t>
      </w:r>
      <w:r>
        <w:t>He affirmed in his definitio</w:t>
      </w:r>
      <w:r w:rsidR="00607432">
        <w:t xml:space="preserve">n of eloquence that the </w:t>
      </w:r>
      <w:r>
        <w:t>purpose of preaching is to persuade by rational appeal</w:t>
      </w:r>
      <w:r w:rsidR="00607432">
        <w:t>.</w:t>
      </w:r>
      <w:r w:rsidR="00607432">
        <w:rPr>
          <w:rStyle w:val="FootnoteReference"/>
        </w:rPr>
        <w:footnoteReference w:id="32"/>
      </w:r>
      <w:r w:rsidR="003729A4">
        <w:t xml:space="preserve"> Broadus writes, </w:t>
      </w:r>
      <w:r>
        <w:t>“Eloquence is so speaking as not merely to convince the judgment, kindle the imagination, and move the feelings, but to give a</w:t>
      </w:r>
      <w:r w:rsidR="00607432">
        <w:t xml:space="preserve"> powerful impulse to the will.”</w:t>
      </w:r>
      <w:r w:rsidR="003729A4">
        <w:rPr>
          <w:rStyle w:val="FootnoteReference"/>
        </w:rPr>
        <w:footnoteReference w:id="33"/>
      </w:r>
      <w:r w:rsidR="006C30D4">
        <w:t xml:space="preserve"> Broadus felt the simple propagation of truth and </w:t>
      </w:r>
      <w:r>
        <w:t>authoritative assertion</w:t>
      </w:r>
      <w:r w:rsidR="006C30D4">
        <w:t xml:space="preserve">s with an impassioned appeal cannot </w:t>
      </w:r>
      <w:r>
        <w:lastRenderedPageBreak/>
        <w:t>satisfy the preacher's calling. He must persuade</w:t>
      </w:r>
      <w:r w:rsidR="006C30D4">
        <w:t xml:space="preserve"> </w:t>
      </w:r>
      <w:r>
        <w:t xml:space="preserve">using the principles of </w:t>
      </w:r>
      <w:r w:rsidR="006C30D4">
        <w:t>argument to compel the listener to respond.</w:t>
      </w:r>
      <w:r w:rsidR="006C30D4">
        <w:rPr>
          <w:rStyle w:val="FootnoteReference"/>
        </w:rPr>
        <w:footnoteReference w:id="34"/>
      </w:r>
    </w:p>
    <w:p w:rsidR="00777393" w:rsidRDefault="001C30A2" w:rsidP="00805BD5">
      <w:pPr>
        <w:spacing w:after="0" w:line="480" w:lineRule="auto"/>
      </w:pPr>
      <w:r>
        <w:tab/>
        <w:t xml:space="preserve">Interestingly, Broadus does not define </w:t>
      </w:r>
      <w:r w:rsidR="00FC4CAB">
        <w:t xml:space="preserve">biblical </w:t>
      </w:r>
      <w:r>
        <w:t>preaching in</w:t>
      </w:r>
      <w:r w:rsidR="00777393">
        <w:t xml:space="preserve"> a</w:t>
      </w:r>
      <w:r>
        <w:t xml:space="preserve"> </w:t>
      </w:r>
      <w:r w:rsidR="00FC4CAB">
        <w:t>narrow sense like many author’s do today. Because of this, t</w:t>
      </w:r>
      <w:r w:rsidR="00777393">
        <w:t>he reader is</w:t>
      </w:r>
      <w:r w:rsidR="00FC4CAB">
        <w:t xml:space="preserve"> left wanting Broadus to be more supportive of a </w:t>
      </w:r>
      <w:r w:rsidR="00777393">
        <w:t xml:space="preserve">stricter </w:t>
      </w:r>
      <w:r w:rsidR="00AE3F7C">
        <w:t xml:space="preserve">definition </w:t>
      </w:r>
      <w:r w:rsidR="00777393">
        <w:t>of exposition</w:t>
      </w:r>
      <w:r w:rsidR="00AE3F7C">
        <w:t>al</w:t>
      </w:r>
      <w:r w:rsidR="00777393">
        <w:t xml:space="preserve"> preaching. For example, consider Dr. Daniel </w:t>
      </w:r>
      <w:proofErr w:type="spellStart"/>
      <w:r w:rsidR="00777393">
        <w:t>Akin’s</w:t>
      </w:r>
      <w:proofErr w:type="spellEnd"/>
      <w:r w:rsidR="00777393">
        <w:t xml:space="preserve"> definition of preaching in </w:t>
      </w:r>
      <w:r w:rsidR="00777393">
        <w:rPr>
          <w:i/>
        </w:rPr>
        <w:t>Engaging Exposition</w:t>
      </w:r>
      <w:r w:rsidR="00777393">
        <w:t>. He writes:</w:t>
      </w:r>
    </w:p>
    <w:p w:rsidR="00777393" w:rsidRDefault="00777393" w:rsidP="00AE3F7C">
      <w:pPr>
        <w:spacing w:after="0" w:line="240" w:lineRule="auto"/>
        <w:ind w:left="720"/>
      </w:pPr>
      <w:r>
        <w:t>Expository preaching is text driven preaching that honors the truth of Scripture as it was given by the Holy Spirit. Its goal is to discover the God-inspired meaning through historical-grammatical-theological investigation and interpretation. By means of engaging and compelling proclamation, the preacher explains, illustrates and applies the meaning of the biblical text in submission to and in the power of the Holy Spirit, preaching Christ for verdict of changed lives.</w:t>
      </w:r>
      <w:r w:rsidR="00AE3F7C">
        <w:rPr>
          <w:rStyle w:val="FootnoteReference"/>
        </w:rPr>
        <w:footnoteReference w:id="35"/>
      </w:r>
    </w:p>
    <w:p w:rsidR="00AE3F7C" w:rsidRDefault="00AE3F7C" w:rsidP="00AE3F7C">
      <w:pPr>
        <w:spacing w:after="0" w:line="240" w:lineRule="auto"/>
        <w:ind w:left="720"/>
      </w:pPr>
    </w:p>
    <w:p w:rsidR="00AE3F7C" w:rsidRDefault="00AE3F7C" w:rsidP="00AE3F7C">
      <w:pPr>
        <w:spacing w:after="0" w:line="480" w:lineRule="auto"/>
      </w:pPr>
      <w:proofErr w:type="spellStart"/>
      <w:r>
        <w:t>Akin’s</w:t>
      </w:r>
      <w:proofErr w:type="spellEnd"/>
      <w:r>
        <w:t xml:space="preserve"> definition leaves little room for including o</w:t>
      </w:r>
      <w:r w:rsidR="00C11FE0">
        <w:t xml:space="preserve">ther types of preaching that would be </w:t>
      </w:r>
      <w:r>
        <w:t>consider</w:t>
      </w:r>
      <w:r w:rsidR="00C11FE0">
        <w:t>ed biblical. Although this student</w:t>
      </w:r>
      <w:r>
        <w:t xml:space="preserve"> assumes</w:t>
      </w:r>
      <w:r w:rsidR="00C11FE0">
        <w:t>,</w:t>
      </w:r>
      <w:r>
        <w:t xml:space="preserve"> that like Broadus, Akin would agree there are certain occasions when a thematic sermon is ne</w:t>
      </w:r>
      <w:r w:rsidR="00C11FE0">
        <w:t>cessary, but even then, it should</w:t>
      </w:r>
      <w:r>
        <w:t xml:space="preserve"> be rooted in a biblical text.</w:t>
      </w:r>
      <w:r w:rsidR="00C3569C">
        <w:t xml:space="preserve"> Broadus does address expositional sermons in his text, but he states that it is not necessary to discuss at any length the advantages and disadvantages of expository preaching.</w:t>
      </w:r>
      <w:r w:rsidR="00492FB4">
        <w:rPr>
          <w:rStyle w:val="FootnoteReference"/>
        </w:rPr>
        <w:footnoteReference w:id="36"/>
      </w:r>
      <w:r w:rsidR="00C3569C">
        <w:t xml:space="preserve"> However, quoting from Alexander, Broadus does include the advantages of expository preaching. They are: (1) the method better corresponds with idea and design of preaching; (2) it is the primitive and ancient method; (3) it ensures a better knowledge of the Scriptures both for the preacher and the hearer; (4) </w:t>
      </w:r>
      <w:r w:rsidR="00FE5AEF">
        <w:t>it cause the sermons to contain more of scriptural truth; (5) it provides for the occasion to address scriptures that might otherwise seem offensive if preached</w:t>
      </w:r>
      <w:r w:rsidR="00492FB4">
        <w:t xml:space="preserve"> </w:t>
      </w:r>
      <w:r w:rsidR="00492FB4">
        <w:lastRenderedPageBreak/>
        <w:t>from a topical me</w:t>
      </w:r>
      <w:r w:rsidR="00FE5AEF">
        <w:t>ssage; and (6) it greatly diminishes the temptation to misinterpret the text.</w:t>
      </w:r>
      <w:r w:rsidR="00FE5AEF">
        <w:rPr>
          <w:rStyle w:val="FootnoteReference"/>
        </w:rPr>
        <w:footnoteReference w:id="37"/>
      </w:r>
      <w:r w:rsidR="00492FB4">
        <w:t xml:space="preserve"> </w:t>
      </w:r>
      <w:r w:rsidR="00664D19">
        <w:t xml:space="preserve">Again, Broadus does not give an extensive treatment on expository preaching, but the vast majority of his sermons would be considered expositional based on </w:t>
      </w:r>
      <w:proofErr w:type="spellStart"/>
      <w:r w:rsidR="00664D19">
        <w:t>Akin’s</w:t>
      </w:r>
      <w:proofErr w:type="spellEnd"/>
      <w:r w:rsidR="00664D19">
        <w:t xml:space="preserve"> definition.</w:t>
      </w:r>
      <w:r w:rsidR="00FE5AEF">
        <w:t xml:space="preserve">  </w:t>
      </w:r>
      <w:r w:rsidR="00C3569C">
        <w:t xml:space="preserve">  </w:t>
      </w:r>
      <w:r>
        <w:t xml:space="preserve">  </w:t>
      </w:r>
    </w:p>
    <w:p w:rsidR="00B5557B" w:rsidRDefault="00777393" w:rsidP="00542783">
      <w:pPr>
        <w:spacing w:after="0" w:line="480" w:lineRule="auto"/>
        <w:ind w:firstLine="720"/>
      </w:pPr>
      <w:r>
        <w:t xml:space="preserve">   </w:t>
      </w:r>
      <w:r w:rsidR="001C30A2">
        <w:t xml:space="preserve"> </w:t>
      </w:r>
      <w:r w:rsidR="0029028D">
        <w:t>After the introdu</w:t>
      </w:r>
      <w:r w:rsidR="0042302D">
        <w:t xml:space="preserve">ction, Broadus’ </w:t>
      </w:r>
      <w:r w:rsidR="0029028D" w:rsidRPr="00040FBE">
        <w:t>d</w:t>
      </w:r>
      <w:r w:rsidR="00C11FE0">
        <w:t xml:space="preserve">ivided the remainder of the </w:t>
      </w:r>
      <w:r w:rsidR="00F14FF4">
        <w:t>text</w:t>
      </w:r>
      <w:r w:rsidR="0042302D">
        <w:t xml:space="preserve">book </w:t>
      </w:r>
      <w:r w:rsidR="0029028D">
        <w:t>into five</w:t>
      </w:r>
      <w:r w:rsidR="0042302D">
        <w:t xml:space="preserve"> major parts. They include</w:t>
      </w:r>
      <w:r w:rsidR="00C11FE0">
        <w:t>:</w:t>
      </w:r>
      <w:r w:rsidR="0042302D">
        <w:t xml:space="preserve"> (1) Materials of P</w:t>
      </w:r>
      <w:r w:rsidR="0029028D">
        <w:t xml:space="preserve">reaching, namely, </w:t>
      </w:r>
      <w:r w:rsidR="0029028D" w:rsidRPr="00040FBE">
        <w:t>texts, subjects, occasions, explanation, argument, illu</w:t>
      </w:r>
      <w:r w:rsidR="0042302D">
        <w:t>stration, and application; (2) The A</w:t>
      </w:r>
      <w:r w:rsidR="0029028D" w:rsidRPr="00040FBE">
        <w:t xml:space="preserve">rrangement of the </w:t>
      </w:r>
      <w:r w:rsidR="0042302D">
        <w:t>S</w:t>
      </w:r>
      <w:r w:rsidR="0029028D">
        <w:t>ermon</w:t>
      </w:r>
      <w:r w:rsidR="0042302D">
        <w:t>,</w:t>
      </w:r>
      <w:r w:rsidR="0029028D">
        <w:t xml:space="preserve"> including, </w:t>
      </w:r>
      <w:r w:rsidR="0029028D" w:rsidRPr="00040FBE">
        <w:t>introduction, discu</w:t>
      </w:r>
      <w:r w:rsidR="0029028D">
        <w:t>ssion, and conclusion; (3</w:t>
      </w:r>
      <w:r w:rsidR="0042302D">
        <w:t>) S</w:t>
      </w:r>
      <w:r w:rsidR="0029028D" w:rsidRPr="00040FBE">
        <w:t>tyle</w:t>
      </w:r>
      <w:r w:rsidR="0042302D">
        <w:t xml:space="preserve"> of P</w:t>
      </w:r>
      <w:r w:rsidR="0029028D">
        <w:t>reaching</w:t>
      </w:r>
      <w:r w:rsidR="0029028D" w:rsidRPr="00040FBE">
        <w:t>, such as</w:t>
      </w:r>
      <w:r w:rsidR="0042302D">
        <w:t>,</w:t>
      </w:r>
      <w:r w:rsidR="0029028D" w:rsidRPr="00040FBE">
        <w:t xml:space="preserve"> perspicuity,</w:t>
      </w:r>
      <w:r w:rsidR="00B5557B">
        <w:t xml:space="preserve"> energy, elegance, etc.; (4) Delivery of S</w:t>
      </w:r>
      <w:r w:rsidR="0029028D">
        <w:t>ermons</w:t>
      </w:r>
      <w:r w:rsidR="00B5557B">
        <w:t>,</w:t>
      </w:r>
      <w:r w:rsidR="0029028D">
        <w:t xml:space="preserve"> including method - </w:t>
      </w:r>
      <w:r w:rsidR="0029028D" w:rsidRPr="00040FBE">
        <w:t>reading, reciting, or spea</w:t>
      </w:r>
      <w:r w:rsidR="00B5557B">
        <w:t>king extemporaneously; and (5) The Conduct of Public W</w:t>
      </w:r>
      <w:r w:rsidR="0029028D" w:rsidRPr="00040FBE">
        <w:t>orship.</w:t>
      </w:r>
      <w:r w:rsidR="00B5557B">
        <w:t xml:space="preserve"> </w:t>
      </w:r>
    </w:p>
    <w:p w:rsidR="00E607B2" w:rsidRDefault="00C11FE0" w:rsidP="00F21EB4">
      <w:pPr>
        <w:spacing w:after="0" w:line="480" w:lineRule="auto"/>
        <w:ind w:firstLine="720"/>
      </w:pPr>
      <w:r>
        <w:t>In the first part</w:t>
      </w:r>
      <w:r w:rsidR="00B5557B">
        <w:t xml:space="preserve">, Broadus addresses the </w:t>
      </w:r>
      <w:r w:rsidR="00625A6E">
        <w:t>meaning of th</w:t>
      </w:r>
      <w:r w:rsidR="0029028D">
        <w:t>e word “text</w:t>
      </w:r>
      <w:r w:rsidR="00B5557B">
        <w:t>.</w:t>
      </w:r>
      <w:r w:rsidR="0029028D">
        <w:t>”</w:t>
      </w:r>
      <w:r w:rsidR="00B5557B">
        <w:t xml:space="preserve"> It</w:t>
      </w:r>
      <w:r w:rsidR="0029028D">
        <w:t xml:space="preserve"> is derived from the </w:t>
      </w:r>
      <w:r w:rsidR="00625A6E">
        <w:t>Latin</w:t>
      </w:r>
      <w:r w:rsidR="0029028D" w:rsidRPr="0029028D">
        <w:rPr>
          <w:i/>
        </w:rPr>
        <w:t xml:space="preserve"> </w:t>
      </w:r>
      <w:proofErr w:type="spellStart"/>
      <w:r w:rsidR="00625A6E" w:rsidRPr="0029028D">
        <w:rPr>
          <w:i/>
        </w:rPr>
        <w:t>texere</w:t>
      </w:r>
      <w:proofErr w:type="spellEnd"/>
      <w:r w:rsidR="00625A6E">
        <w:t xml:space="preserve">, </w:t>
      </w:r>
      <w:r w:rsidR="0029028D">
        <w:t xml:space="preserve">which means </w:t>
      </w:r>
      <w:r w:rsidR="00625A6E">
        <w:t>to weave,</w:t>
      </w:r>
      <w:r w:rsidR="0029028D">
        <w:t xml:space="preserve"> and figuratively came to mean to construct, put together, or to compose.</w:t>
      </w:r>
      <w:r w:rsidR="0029028D">
        <w:rPr>
          <w:rStyle w:val="FootnoteReference"/>
        </w:rPr>
        <w:footnoteReference w:id="38"/>
      </w:r>
      <w:r w:rsidR="00A60D1F">
        <w:t xml:space="preserve"> Just a</w:t>
      </w:r>
      <w:r w:rsidR="00625A6E">
        <w:t xml:space="preserve">s fabric is the result of weaving, so in literary usage the fabric of one’s thinking was </w:t>
      </w:r>
      <w:r w:rsidR="00A60D1F">
        <w:t>written down alongside the text. To distinguish between the notes of the speaker and the original writings the original writings became known or identified as the “text.”</w:t>
      </w:r>
      <w:r w:rsidR="00A60D1F">
        <w:rPr>
          <w:rStyle w:val="FootnoteReference"/>
        </w:rPr>
        <w:footnoteReference w:id="39"/>
      </w:r>
      <w:r w:rsidR="00A60D1F">
        <w:t xml:space="preserve"> </w:t>
      </w:r>
      <w:r w:rsidR="00CB4B84">
        <w:t>In a similar ma</w:t>
      </w:r>
      <w:r w:rsidR="00B5557B">
        <w:t xml:space="preserve">nner, as Scripture was preached, </w:t>
      </w:r>
      <w:r w:rsidR="00CB4B84">
        <w:t xml:space="preserve">it became identified as the “text” </w:t>
      </w:r>
      <w:r w:rsidR="00625A6E">
        <w:t>to distingu</w:t>
      </w:r>
      <w:r w:rsidR="00A60D1F">
        <w:t>ish it from the preacher’s own words.</w:t>
      </w:r>
      <w:r w:rsidR="00F21EB4">
        <w:t xml:space="preserve"> </w:t>
      </w:r>
    </w:p>
    <w:p w:rsidR="00C131A6" w:rsidRDefault="00E607B2" w:rsidP="00F21EB4">
      <w:pPr>
        <w:spacing w:after="0" w:line="480" w:lineRule="auto"/>
        <w:ind w:firstLine="720"/>
      </w:pPr>
      <w:r>
        <w:t xml:space="preserve">Broadus also gave </w:t>
      </w:r>
      <w:r w:rsidR="00C131A6">
        <w:t>eight rules</w:t>
      </w:r>
      <w:r w:rsidR="00D53F8A">
        <w:t xml:space="preserve"> for the reader </w:t>
      </w:r>
      <w:r w:rsidR="00C131A6">
        <w:t>for selecting texts</w:t>
      </w:r>
      <w:r w:rsidR="00D53F8A">
        <w:t>. They are:</w:t>
      </w:r>
      <w:r w:rsidR="007D68C8">
        <w:t xml:space="preserve"> (1) the text should not be obscure; (2) do not employee</w:t>
      </w:r>
      <w:r w:rsidR="00C131A6">
        <w:t xml:space="preserve"> texts “ma</w:t>
      </w:r>
      <w:r w:rsidR="007D68C8">
        <w:t>rked by grandeur of expression;”</w:t>
      </w:r>
      <w:r w:rsidR="00C131A6">
        <w:t xml:space="preserve"> (3)</w:t>
      </w:r>
      <w:r w:rsidR="007D68C8">
        <w:t xml:space="preserve"> scarcely </w:t>
      </w:r>
      <w:r w:rsidR="00C131A6">
        <w:t>choose a text that will seem odd; (4) do not avoid a text because it is familiar; (5) do no habitually neglect any portion of Scripture; (6) do not t</w:t>
      </w:r>
      <w:r w:rsidR="007D68C8">
        <w:t xml:space="preserve">ake spurious passages; (7) do not use </w:t>
      </w:r>
      <w:r w:rsidR="007D68C8">
        <w:lastRenderedPageBreak/>
        <w:t>uninspired sayings of men recorded in Scripture</w:t>
      </w:r>
      <w:r w:rsidR="00C131A6">
        <w:t xml:space="preserve"> rec</w:t>
      </w:r>
      <w:r w:rsidR="007D68C8">
        <w:t>orded in Scripture unless it is true; and (8) use pastoral discernment when selecting the text.</w:t>
      </w:r>
      <w:r w:rsidR="007D68C8">
        <w:rPr>
          <w:rStyle w:val="FootnoteReference"/>
        </w:rPr>
        <w:footnoteReference w:id="40"/>
      </w:r>
      <w:r>
        <w:t xml:space="preserve"> These suggestions are more helpful if a person is preaching a thematic sermon or a sermon for a special occasion. However, these suggestions are not as applicable to someone who is preaching verse-by-verse through a book of the Bible.</w:t>
      </w:r>
      <w:r w:rsidR="00C11FE0">
        <w:t xml:space="preserve"> In fact, many persons who only adhere to expositional </w:t>
      </w:r>
      <w:r w:rsidR="009D31D7">
        <w:t>preaching may disregard this section all together.</w:t>
      </w:r>
      <w:r w:rsidR="00C11FE0">
        <w:t xml:space="preserve"> </w:t>
      </w:r>
      <w:r>
        <w:t xml:space="preserve">   </w:t>
      </w:r>
    </w:p>
    <w:p w:rsidR="0031025A" w:rsidRDefault="0031025A" w:rsidP="003771CF">
      <w:pPr>
        <w:spacing w:after="0" w:line="480" w:lineRule="auto"/>
        <w:ind w:firstLine="720"/>
      </w:pPr>
      <w:r>
        <w:t xml:space="preserve">Closely related to </w:t>
      </w:r>
      <w:r w:rsidR="00E04843">
        <w:t xml:space="preserve">subject of text-driven preaching is doctrinal preaching. According to </w:t>
      </w:r>
      <w:r>
        <w:t>Broadus</w:t>
      </w:r>
      <w:r w:rsidR="00E04843">
        <w:t>, doctrinal teaching is the preacher’s chief business.</w:t>
      </w:r>
      <w:r w:rsidR="00E04843">
        <w:rPr>
          <w:rStyle w:val="FootnoteReference"/>
        </w:rPr>
        <w:footnoteReference w:id="41"/>
      </w:r>
      <w:r w:rsidR="00175336">
        <w:t xml:space="preserve"> He writes, “Truth is the life-blood of piety, without which we cannot maintain its vitality or support its activity. And to teach men truth, or to quicken what they already know into freshness and power is preacher’s great means of doing good.”</w:t>
      </w:r>
      <w:r w:rsidR="00175336">
        <w:rPr>
          <w:rStyle w:val="FootnoteReference"/>
        </w:rPr>
        <w:footnoteReference w:id="42"/>
      </w:r>
      <w:r w:rsidR="005B1C53">
        <w:t xml:space="preserve">  Indeed, Broadus insist that doctrinal preaching, when properly prepared, may be the most interesting type of preaching and will serve the congregation well. He writes, </w:t>
      </w:r>
      <w:r>
        <w:t xml:space="preserve">“The preacher who </w:t>
      </w:r>
      <w:r>
        <w:t>can make doctrinal truth interesting as well as intelli</w:t>
      </w:r>
      <w:r>
        <w:t xml:space="preserve">gible to his congregation, and </w:t>
      </w:r>
      <w:r>
        <w:t>gradually bring them to a good acquaintance with the doctri</w:t>
      </w:r>
      <w:r>
        <w:t xml:space="preserve">nes of the Bible, is rendering </w:t>
      </w:r>
      <w:r w:rsidR="005B1C53">
        <w:t>them an inestimable service.”</w:t>
      </w:r>
      <w:r w:rsidR="005B1C53">
        <w:rPr>
          <w:rStyle w:val="FootnoteReference"/>
        </w:rPr>
        <w:footnoteReference w:id="43"/>
      </w:r>
      <w:r>
        <w:t xml:space="preserve"> Broadus </w:t>
      </w:r>
      <w:r w:rsidR="003771CF">
        <w:t>also argues</w:t>
      </w:r>
      <w:r w:rsidR="00C76802">
        <w:t xml:space="preserve"> that </w:t>
      </w:r>
      <w:r>
        <w:t>preach</w:t>
      </w:r>
      <w:r>
        <w:t>ing on</w:t>
      </w:r>
      <w:r w:rsidR="00C76802">
        <w:t xml:space="preserve"> the great doctrines of the gospel is necessary and important. He recommends breaking the doctrines into their </w:t>
      </w:r>
      <w:r>
        <w:t>natural divisions</w:t>
      </w:r>
      <w:r w:rsidR="00C76802">
        <w:t xml:space="preserve">. For example, preaching on the doctrine of repentance would include its nature, necessity, season, </w:t>
      </w:r>
      <w:r w:rsidR="00C76802">
        <w:lastRenderedPageBreak/>
        <w:t>evidences, relation, and relation to faith.</w:t>
      </w:r>
      <w:r w:rsidR="00C76802">
        <w:rPr>
          <w:rStyle w:val="FootnoteReference"/>
        </w:rPr>
        <w:footnoteReference w:id="44"/>
      </w:r>
      <w:r w:rsidR="00C76802">
        <w:t xml:space="preserve"> </w:t>
      </w:r>
      <w:r>
        <w:t>Broadus</w:t>
      </w:r>
      <w:r w:rsidR="00C76802">
        <w:t xml:space="preserve"> also </w:t>
      </w:r>
      <w:r>
        <w:t xml:space="preserve">discussed </w:t>
      </w:r>
      <w:r w:rsidR="003771CF">
        <w:t>the need to preach on apologetics</w:t>
      </w:r>
    </w:p>
    <w:p w:rsidR="00551606" w:rsidRDefault="00E607B2" w:rsidP="00284C21">
      <w:pPr>
        <w:spacing w:after="0" w:line="480" w:lineRule="auto"/>
        <w:ind w:firstLine="720"/>
      </w:pPr>
      <w:r>
        <w:t xml:space="preserve">Another key element of </w:t>
      </w:r>
      <w:r w:rsidR="009D31D7">
        <w:t>Broadus’ textbook is the part</w:t>
      </w:r>
      <w:r>
        <w:t xml:space="preserve"> on “Delivery of Sermon. This section is important beca</w:t>
      </w:r>
      <w:r w:rsidR="008372AF">
        <w:t>use the reader</w:t>
      </w:r>
      <w:r w:rsidR="00284C21">
        <w:t xml:space="preserve"> can no longer </w:t>
      </w:r>
      <w:r>
        <w:t>see or hear B</w:t>
      </w:r>
      <w:r w:rsidR="008372AF">
        <w:t>roadus actually preach</w:t>
      </w:r>
      <w:r w:rsidR="005F6745">
        <w:t xml:space="preserve">. The section </w:t>
      </w:r>
      <w:r w:rsidR="008372AF">
        <w:t>begins</w:t>
      </w:r>
      <w:r w:rsidR="005F6745">
        <w:t xml:space="preserve"> by giving a history of the three methods of preparation and d</w:t>
      </w:r>
      <w:r>
        <w:t>elivery</w:t>
      </w:r>
      <w:r w:rsidR="005F6745">
        <w:t xml:space="preserve"> of a sermon, namely, reading, recitation, and extemporaneous sp</w:t>
      </w:r>
      <w:r w:rsidR="00284C21">
        <w:t xml:space="preserve">eaking. </w:t>
      </w:r>
    </w:p>
    <w:p w:rsidR="00551606" w:rsidRDefault="00E60C5B" w:rsidP="00143296">
      <w:pPr>
        <w:spacing w:after="0" w:line="480" w:lineRule="auto"/>
        <w:ind w:firstLine="720"/>
      </w:pPr>
      <w:r>
        <w:t xml:space="preserve">There are </w:t>
      </w:r>
      <w:r w:rsidR="00551606">
        <w:t>advantages and disadvantage</w:t>
      </w:r>
      <w:r>
        <w:t xml:space="preserve">s for </w:t>
      </w:r>
      <w:r w:rsidR="00551606">
        <w:t>reading a sermon manuscript. The</w:t>
      </w:r>
      <w:r>
        <w:t>y include, it places the preacher more at ease, prevents fear of failure</w:t>
      </w:r>
      <w:r w:rsidR="00551606">
        <w:t xml:space="preserve">, secures a greater </w:t>
      </w:r>
      <w:r>
        <w:t>confidence while delivering the sermon, saves time, and helps controls the tone of the voice.</w:t>
      </w:r>
      <w:r>
        <w:rPr>
          <w:rStyle w:val="FootnoteReference"/>
        </w:rPr>
        <w:footnoteReference w:id="45"/>
      </w:r>
      <w:r w:rsidR="00143296">
        <w:t xml:space="preserve"> The disadvantages include, it </w:t>
      </w:r>
      <w:r w:rsidR="00551606">
        <w:t>stifles mental quickening that</w:t>
      </w:r>
      <w:r w:rsidR="00143296">
        <w:t xml:space="preserve"> can be produce by the presence of the congregation, it is less effective, more injurious to the voice, and produces greater fear when having to speak without a manuscript.</w:t>
      </w:r>
      <w:r w:rsidR="00143296">
        <w:rPr>
          <w:rStyle w:val="FootnoteReference"/>
        </w:rPr>
        <w:footnoteReference w:id="46"/>
      </w:r>
      <w:r w:rsidR="00143296">
        <w:t xml:space="preserve"> </w:t>
      </w:r>
      <w:r w:rsidR="009E4677">
        <w:t>In the end, Broadus offers</w:t>
      </w:r>
      <w:r w:rsidR="00551606">
        <w:t xml:space="preserve"> two suggestio</w:t>
      </w:r>
      <w:r w:rsidR="009E4677">
        <w:t xml:space="preserve">ns for reading the </w:t>
      </w:r>
      <w:r w:rsidR="00551606">
        <w:t>s</w:t>
      </w:r>
      <w:r w:rsidR="009E4677">
        <w:t xml:space="preserve">ermon manuscript. First, the </w:t>
      </w:r>
      <w:r w:rsidR="00551606">
        <w:t>preacher should not try to pretend he is not reading</w:t>
      </w:r>
      <w:r w:rsidR="009E4677">
        <w:t xml:space="preserve"> sermon. Second do not attempt to </w:t>
      </w:r>
      <w:r w:rsidR="00DE631A">
        <w:t>convert reading into speaking.</w:t>
      </w:r>
      <w:r w:rsidR="009E4677">
        <w:rPr>
          <w:rStyle w:val="FootnoteReference"/>
        </w:rPr>
        <w:footnoteReference w:id="47"/>
      </w:r>
    </w:p>
    <w:p w:rsidR="00D57E10" w:rsidRDefault="00D57E10" w:rsidP="00EA381C">
      <w:pPr>
        <w:spacing w:after="0" w:line="480" w:lineRule="auto"/>
        <w:ind w:firstLine="720"/>
      </w:pPr>
      <w:r>
        <w:t>Recitation is repeating from memory what has been written and learned.</w:t>
      </w:r>
      <w:r>
        <w:rPr>
          <w:rStyle w:val="FootnoteReference"/>
        </w:rPr>
        <w:footnoteReference w:id="48"/>
      </w:r>
      <w:r w:rsidR="00EA381C">
        <w:t xml:space="preserve"> Just as in reading a sermon, there are advantages and disadvantages in reciting a sermon. Broadus </w:t>
      </w:r>
      <w:r>
        <w:t>identifi</w:t>
      </w:r>
      <w:r w:rsidR="00EA381C">
        <w:t>es</w:t>
      </w:r>
      <w:r>
        <w:t xml:space="preserve"> only two advantages</w:t>
      </w:r>
      <w:r w:rsidR="00EA381C">
        <w:t xml:space="preserve">. First, it has all the benefits of reading a sermon in that the sermon is complete and finished. Second, is the recitation cultivates the memory. The disadvantage is </w:t>
      </w:r>
      <w:r w:rsidR="00EA381C">
        <w:lastRenderedPageBreak/>
        <w:t>that there is less opportunity to correct errors at the time of delivery and it requires longer time for sermon preparation.</w:t>
      </w:r>
      <w:r w:rsidR="00EA381C">
        <w:rPr>
          <w:rStyle w:val="FootnoteReference"/>
        </w:rPr>
        <w:footnoteReference w:id="49"/>
      </w:r>
      <w:r>
        <w:t xml:space="preserve"> </w:t>
      </w:r>
      <w:r w:rsidR="00293BE6">
        <w:t xml:space="preserve"> </w:t>
      </w:r>
    </w:p>
    <w:p w:rsidR="00293BE6" w:rsidRDefault="00850FFE" w:rsidP="00293BE6">
      <w:pPr>
        <w:spacing w:after="0" w:line="480" w:lineRule="auto"/>
        <w:ind w:firstLine="720"/>
      </w:pPr>
      <w:r>
        <w:t>Broadus clearly preferred</w:t>
      </w:r>
      <w:r w:rsidR="00293BE6">
        <w:t xml:space="preserve"> extemporaneous speaking over the other </w:t>
      </w:r>
      <w:proofErr w:type="spellStart"/>
      <w:r w:rsidR="00293BE6">
        <w:t>metods</w:t>
      </w:r>
      <w:proofErr w:type="spellEnd"/>
      <w:r>
        <w:t>.</w:t>
      </w:r>
      <w:r w:rsidR="00293BE6">
        <w:t xml:space="preserve"> He writes</w:t>
      </w:r>
      <w:r w:rsidR="00293BE6">
        <w:t xml:space="preserve">: </w:t>
      </w:r>
    </w:p>
    <w:p w:rsidR="00293BE6" w:rsidRDefault="00293BE6" w:rsidP="00293BE6">
      <w:pPr>
        <w:spacing w:after="0" w:line="240" w:lineRule="auto"/>
        <w:ind w:left="720"/>
      </w:pPr>
      <w:r>
        <w:t>Public speaking is one of the noblest exercises of the human powers; preaching is its highest form; and if extemporaneous speaking be the best method of preaching, it is surely worth labor to attain excellence in this, - diligent and faithful self-cultivation, resolute determination always to do our best, as long as we live.</w:t>
      </w:r>
      <w:r>
        <w:rPr>
          <w:rStyle w:val="FootnoteReference"/>
        </w:rPr>
        <w:footnoteReference w:id="50"/>
      </w:r>
    </w:p>
    <w:p w:rsidR="00293BE6" w:rsidRDefault="00850FFE" w:rsidP="00293BE6">
      <w:pPr>
        <w:spacing w:after="0" w:line="480" w:lineRule="auto"/>
        <w:ind w:firstLine="720"/>
      </w:pPr>
      <w:r>
        <w:t xml:space="preserve"> </w:t>
      </w:r>
    </w:p>
    <w:p w:rsidR="00623369" w:rsidRDefault="00293BE6" w:rsidP="00623369">
      <w:pPr>
        <w:spacing w:after="0" w:line="480" w:lineRule="auto"/>
      </w:pPr>
      <w:r>
        <w:t xml:space="preserve">Some of the advantages of extemporaneous preaching include the ability to think more rapidly, </w:t>
      </w:r>
      <w:r>
        <w:t>more time</w:t>
      </w:r>
      <w:r>
        <w:t xml:space="preserve"> can be spent developing </w:t>
      </w:r>
      <w:r>
        <w:t>the subject;</w:t>
      </w:r>
      <w:r>
        <w:t xml:space="preserve"> saves time for other pastoral work,</w:t>
      </w:r>
      <w:r w:rsidR="00623369">
        <w:t xml:space="preserve"> </w:t>
      </w:r>
      <w:r>
        <w:t>is able to integ</w:t>
      </w:r>
      <w:r w:rsidR="00623369">
        <w:t>rate spontaneous thoughts during delivery, and the preacher view the response of the audience and adjust accordingly.</w:t>
      </w:r>
      <w:r w:rsidR="00623369">
        <w:rPr>
          <w:rStyle w:val="FootnoteReference"/>
        </w:rPr>
        <w:footnoteReference w:id="51"/>
      </w:r>
      <w:r w:rsidR="00623369">
        <w:t xml:space="preserve"> </w:t>
      </w:r>
    </w:p>
    <w:p w:rsidR="00850FFE" w:rsidRDefault="00623369" w:rsidP="005C5967">
      <w:pPr>
        <w:spacing w:after="0" w:line="480" w:lineRule="auto"/>
        <w:ind w:firstLine="720"/>
      </w:pPr>
      <w:r>
        <w:t xml:space="preserve">Some of the </w:t>
      </w:r>
      <w:r w:rsidR="00293BE6">
        <w:t xml:space="preserve">disadvantages of </w:t>
      </w:r>
      <w:r>
        <w:t xml:space="preserve">extemporaneous preaching </w:t>
      </w:r>
      <w:r w:rsidR="005C5967">
        <w:t xml:space="preserve">include, </w:t>
      </w:r>
      <w:r>
        <w:t xml:space="preserve">the danger to neglect preparation. Second, difficulty concentrating during preparation since one is not writing out the entire thought. Third, prevents </w:t>
      </w:r>
      <w:r w:rsidR="00293BE6">
        <w:t>the preacher</w:t>
      </w:r>
      <w:r>
        <w:t xml:space="preserve"> from c</w:t>
      </w:r>
      <w:r w:rsidR="005C5967">
        <w:t>ultivating the habit of writing. Fourth, if sermon is used again it will not be written out. Fifth, cannot quote as largely as a reader. Sixth, the style is less finished than a having a complete manuscript. Seventh, the danger of making blunders in statements. Finally, the success of the delivery can be impacted by how the preacher is feeling.</w:t>
      </w:r>
      <w:r w:rsidR="005C5967">
        <w:rPr>
          <w:rStyle w:val="FootnoteReference"/>
        </w:rPr>
        <w:footnoteReference w:id="52"/>
      </w:r>
      <w:r w:rsidR="005C5967">
        <w:t xml:space="preserve">  </w:t>
      </w:r>
    </w:p>
    <w:p w:rsidR="005C5967" w:rsidRDefault="005C5967" w:rsidP="005C5967">
      <w:pPr>
        <w:spacing w:after="0" w:line="480" w:lineRule="auto"/>
        <w:ind w:firstLine="720"/>
      </w:pPr>
      <w:r>
        <w:t>There are a number of other key elements in Broadus’ textbook that are worthy to be discussed. Many of which are discussed below in the evaluation of Broadus’ sermon.</w:t>
      </w:r>
    </w:p>
    <w:p w:rsidR="00B50E2F" w:rsidRPr="005C5967" w:rsidRDefault="00904772" w:rsidP="005C5967">
      <w:pPr>
        <w:spacing w:after="0" w:line="480" w:lineRule="auto"/>
        <w:ind w:firstLine="720"/>
        <w:jc w:val="center"/>
      </w:pPr>
      <w:r>
        <w:rPr>
          <w:b/>
        </w:rPr>
        <w:lastRenderedPageBreak/>
        <w:t>An Analysis of “The Lord’s Prayer</w:t>
      </w:r>
    </w:p>
    <w:p w:rsidR="00405DCE" w:rsidRDefault="00EC2826" w:rsidP="00EC2826">
      <w:pPr>
        <w:spacing w:after="0" w:line="480" w:lineRule="auto"/>
        <w:ind w:firstLine="720"/>
      </w:pPr>
      <w:r>
        <w:t xml:space="preserve">This student has selected a sermon from Broadus titled, “The Lord’s Prayer” based out of Matthew 6:9. The sermon is taken from Stanfield’s work, </w:t>
      </w:r>
      <w:r>
        <w:rPr>
          <w:i/>
        </w:rPr>
        <w:t>Favorite Sermons of John A. Broadus</w:t>
      </w:r>
      <w:r>
        <w:t>, which was published</w:t>
      </w:r>
      <w:r w:rsidR="005C5967">
        <w:t xml:space="preserve"> in 1959. The date of </w:t>
      </w:r>
      <w:r>
        <w:t>Broadus’ sermon is not given, so the student is unsure if it precedes or proceeds Broadus’ textbook on preaching.</w:t>
      </w:r>
      <w:r w:rsidR="007E2EDE">
        <w:t xml:space="preserve"> Like most of his </w:t>
      </w:r>
      <w:r>
        <w:t xml:space="preserve">sermons, “The Lord’s Prayer” is considered expositional in nature. The structure </w:t>
      </w:r>
      <w:r w:rsidR="007E2EDE">
        <w:t xml:space="preserve">of the sermon includes an introduction followed by a brief explanation about textual concerns of the similar prayer found in Luke. After the explanation, Broadus breaks the body of sermon into two major divisions. The first </w:t>
      </w:r>
      <w:r w:rsidR="002021DC">
        <w:t>division, addresses</w:t>
      </w:r>
      <w:r w:rsidR="002021DC" w:rsidRPr="002021DC">
        <w:t xml:space="preserve"> verses 9-10</w:t>
      </w:r>
      <w:r w:rsidR="007E2EDE" w:rsidRPr="002021DC">
        <w:t xml:space="preserve"> and the second division addresses</w:t>
      </w:r>
      <w:r w:rsidR="002021DC" w:rsidRPr="002021DC">
        <w:t xml:space="preserve"> verses 11-15.</w:t>
      </w:r>
      <w:r w:rsidR="002021DC">
        <w:t xml:space="preserve"> Broadus argues verses 9 and 10 involves a petition that relates to God’s glory.</w:t>
      </w:r>
      <w:r w:rsidR="002021DC">
        <w:rPr>
          <w:rStyle w:val="FootnoteReference"/>
        </w:rPr>
        <w:footnoteReference w:id="53"/>
      </w:r>
      <w:r w:rsidR="005B6B66">
        <w:t xml:space="preserve"> Whereas, verses 11-15 involves petitions that relates to the person praying.</w:t>
      </w:r>
      <w:r w:rsidR="005B6B66">
        <w:rPr>
          <w:rStyle w:val="FootnoteReference"/>
        </w:rPr>
        <w:footnoteReference w:id="54"/>
      </w:r>
      <w:r w:rsidR="005B6B66">
        <w:t xml:space="preserve"> The first </w:t>
      </w:r>
      <w:r w:rsidR="00331473">
        <w:t xml:space="preserve">main </w:t>
      </w:r>
      <w:r w:rsidR="005B6B66">
        <w:t>division is broken into three sub-p</w:t>
      </w:r>
      <w:r w:rsidR="00331473">
        <w:t xml:space="preserve">oints. The first sub-point addresses the phrase, </w:t>
      </w:r>
      <w:r w:rsidR="005B6B66">
        <w:t>“Hallowed be Thy name</w:t>
      </w:r>
      <w:r w:rsidR="00331473">
        <w:t xml:space="preserve">.” The second sub-point deals with the phrase “Thy kingdom come.” The third sub-point covers, “Thy will be done.” The second main division has three sub-points as well. The first sub-point explains “Give us this day our daily bread,” while the second sub-point addresses, “And forgive us our debts, as we forgive our debtors.” The final sub-point </w:t>
      </w:r>
      <w:r w:rsidR="00405DCE">
        <w:t xml:space="preserve">explains the phrase, “bring us not into temptation.” Broadus’s conclusion is more of a summary of the sermon than a separate illustration. This student will address the conclusion later in the paper. </w:t>
      </w:r>
    </w:p>
    <w:p w:rsidR="00EC2826" w:rsidRDefault="00405DCE" w:rsidP="009F21F9">
      <w:pPr>
        <w:spacing w:after="0" w:line="480" w:lineRule="auto"/>
        <w:ind w:firstLine="720"/>
      </w:pPr>
      <w:r>
        <w:t>Broadus’ sermon, if read, would last approxim</w:t>
      </w:r>
      <w:r w:rsidR="009F21F9">
        <w:t xml:space="preserve">ately 25 minutes. It is </w:t>
      </w:r>
      <w:r>
        <w:t>nine pages in length, single space</w:t>
      </w:r>
      <w:r w:rsidR="009F21F9">
        <w:t>. There is no alliteration in Broadus’ sermon points, nor is there a “big idea”</w:t>
      </w:r>
      <w:r w:rsidR="00875B0E">
        <w:t xml:space="preserve"> stated outside of early comments in the sermon</w:t>
      </w:r>
      <w:r w:rsidR="009F21F9">
        <w:t xml:space="preserve"> that Jesus’ words serve as a model of how to pra</w:t>
      </w:r>
      <w:r w:rsidR="00056B35">
        <w:t xml:space="preserve">y. The </w:t>
      </w:r>
      <w:r w:rsidR="00056B35">
        <w:lastRenderedPageBreak/>
        <w:t xml:space="preserve">sermon is </w:t>
      </w:r>
      <w:r w:rsidR="009F21F9">
        <w:t>more</w:t>
      </w:r>
      <w:r w:rsidR="00056B35">
        <w:t xml:space="preserve"> </w:t>
      </w:r>
      <w:r w:rsidR="009F21F9">
        <w:t>exposition</w:t>
      </w:r>
      <w:r w:rsidR="00056B35">
        <w:t>al</w:t>
      </w:r>
      <w:r w:rsidR="00EB49E5">
        <w:t xml:space="preserve">; however, it </w:t>
      </w:r>
      <w:r w:rsidR="00056B35">
        <w:t xml:space="preserve">could be used to preach </w:t>
      </w:r>
      <w:r w:rsidR="00875B0E">
        <w:t xml:space="preserve">just </w:t>
      </w:r>
      <w:r w:rsidR="00056B35">
        <w:t>on the subject of pr</w:t>
      </w:r>
      <w:r w:rsidR="00EB49E5">
        <w:t>ayer if needed. In other words, his sermon could be viewed</w:t>
      </w:r>
      <w:r w:rsidR="00875B0E">
        <w:t xml:space="preserve"> as </w:t>
      </w:r>
      <w:r w:rsidR="00EB49E5">
        <w:t>topical or expositional</w:t>
      </w:r>
      <w:r w:rsidR="00374F46">
        <w:t xml:space="preserve"> depending how </w:t>
      </w:r>
      <w:r w:rsidR="00875B0E">
        <w:t>those terms</w:t>
      </w:r>
      <w:r w:rsidR="00374F46">
        <w:t xml:space="preserve"> are defined</w:t>
      </w:r>
      <w:r w:rsidR="00EB49E5">
        <w:t>.</w:t>
      </w:r>
    </w:p>
    <w:p w:rsidR="0002296E" w:rsidRPr="00EC2826" w:rsidRDefault="0002296E" w:rsidP="009F21F9">
      <w:pPr>
        <w:spacing w:after="0" w:line="480" w:lineRule="auto"/>
        <w:ind w:firstLine="720"/>
      </w:pPr>
      <w:r>
        <w:t xml:space="preserve">In following paragraphs, this student will analyze Broadus’ sermon based on his </w:t>
      </w:r>
      <w:r>
        <w:rPr>
          <w:i/>
        </w:rPr>
        <w:t>Preparation and Delivery of Sermons</w:t>
      </w:r>
      <w:r>
        <w:t>. The analysis will include a comparison of what Broadus</w:t>
      </w:r>
      <w:r w:rsidR="00845C7A">
        <w:t xml:space="preserve"> writes in his textbook to what is </w:t>
      </w:r>
      <w:r>
        <w:t>written in his sermon.</w:t>
      </w:r>
      <w:r w:rsidR="00AE06EB">
        <w:t xml:space="preserve"> </w:t>
      </w:r>
      <w:r w:rsidR="00845C7A">
        <w:t xml:space="preserve">In other words, this student will evaluate if Broadus actually applies in his own sermon what he encourages students to do in his textbook. In order for this objective to be accomplished a summary of Broadus’ work is needed, specifically in the area of </w:t>
      </w:r>
      <w:r w:rsidR="00845C7A" w:rsidRPr="009D210E">
        <w:t>int</w:t>
      </w:r>
      <w:r w:rsidR="0031025A" w:rsidRPr="009D210E">
        <w:t>roductions, interpretations, illustrations, application, and conclusion.</w:t>
      </w:r>
      <w:r w:rsidR="00845C7A">
        <w:t xml:space="preserve">   </w:t>
      </w:r>
      <w:r w:rsidR="00AE06EB">
        <w:t xml:space="preserve"> </w:t>
      </w:r>
      <w:r>
        <w:t xml:space="preserve">   </w:t>
      </w:r>
    </w:p>
    <w:p w:rsidR="00A9593B" w:rsidRDefault="00441514" w:rsidP="00261728">
      <w:pPr>
        <w:spacing w:after="0" w:line="480" w:lineRule="auto"/>
        <w:ind w:firstLine="720"/>
      </w:pPr>
      <w:r>
        <w:t>In his opening co</w:t>
      </w:r>
      <w:r w:rsidR="008A30DD">
        <w:t xml:space="preserve">mments on the introduction of </w:t>
      </w:r>
      <w:r>
        <w:t>sermon</w:t>
      </w:r>
      <w:r w:rsidR="008A30DD">
        <w:t>s</w:t>
      </w:r>
      <w:r>
        <w:t xml:space="preserve"> Broadus writes, “It can scarcely be necessary to argue at length to the effects that sermons ought generally to have an introduction… A building is rarely pleasing in appearance without a porch or some sort of inviting entrance. An elaborate piece of music will always have a prelude of at least a few introductory notes.”</w:t>
      </w:r>
      <w:r>
        <w:rPr>
          <w:rStyle w:val="FootnoteReference"/>
        </w:rPr>
        <w:footnoteReference w:id="55"/>
      </w:r>
      <w:r w:rsidR="008A30DD">
        <w:t xml:space="preserve"> Furthermore, the </w:t>
      </w:r>
      <w:r w:rsidR="00ED525D">
        <w:t>introduction has two chief objectives: (1) to interest hearers in the subject; and (2) to help prepare the hearer to understand the subject.</w:t>
      </w:r>
      <w:r w:rsidR="00ED525D">
        <w:rPr>
          <w:rStyle w:val="FootnoteReference"/>
        </w:rPr>
        <w:footnoteReference w:id="56"/>
      </w:r>
      <w:r w:rsidR="00C27A3E">
        <w:t xml:space="preserve"> According to Broadus there are various sources from which the preacher can draw to find an introduction. They include the te</w:t>
      </w:r>
      <w:r w:rsidR="00A9593B">
        <w:t>xt, the subject to be discussed, or from a particular occasion.</w:t>
      </w:r>
      <w:r w:rsidR="00A9593B">
        <w:rPr>
          <w:rStyle w:val="FootnoteReference"/>
        </w:rPr>
        <w:footnoteReference w:id="57"/>
      </w:r>
      <w:r w:rsidR="00A9593B">
        <w:t xml:space="preserve"> These sources are reflected in</w:t>
      </w:r>
      <w:r w:rsidR="00047099">
        <w:t xml:space="preserve"> a variety of</w:t>
      </w:r>
      <w:r w:rsidR="00A9593B">
        <w:t xml:space="preserve"> Broadus’ sermons. The text, however, serves as Broadus’ in</w:t>
      </w:r>
      <w:r w:rsidR="00047099">
        <w:t>troduction in his sermon, “The Lord’s Prayer.”</w:t>
      </w:r>
      <w:r w:rsidR="00F61251">
        <w:t xml:space="preserve"> which will be discussed momentarily</w:t>
      </w:r>
      <w:r w:rsidR="00A9593B">
        <w:t xml:space="preserve">. </w:t>
      </w:r>
      <w:r w:rsidR="00A9593B">
        <w:lastRenderedPageBreak/>
        <w:t xml:space="preserve">However, before addressing Broadus’ introduction a few final remarks </w:t>
      </w:r>
      <w:r w:rsidR="00462C0A">
        <w:t xml:space="preserve">regarding the introduction of a sermon </w:t>
      </w:r>
      <w:r w:rsidR="00A9593B">
        <w:t>are needed.</w:t>
      </w:r>
    </w:p>
    <w:p w:rsidR="00442BA6" w:rsidRDefault="00462C0A" w:rsidP="00462C0A">
      <w:pPr>
        <w:spacing w:after="0" w:line="480" w:lineRule="auto"/>
      </w:pPr>
      <w:r>
        <w:tab/>
        <w:t>Broadus believed there were certain qualities that made a good introduction. The first quality requires that the introduction present some thought closely related to the theme of the sermon. Broadus warns of the danger of missing the mark in the introduction when he writes, “The preacher will often find himself tempted, especially in introductions drawn from the text or context, to remark in passing upon interesting matters which are somehow suggested but are foreign to his purpose on that occasion.”</w:t>
      </w:r>
      <w:r>
        <w:rPr>
          <w:rStyle w:val="FootnoteReference"/>
        </w:rPr>
        <w:footnoteReference w:id="58"/>
      </w:r>
      <w:r w:rsidR="00442BA6">
        <w:t xml:space="preserve"> In other words, the introduction must lead the listener down the same path and direction of sermon. </w:t>
      </w:r>
      <w:r w:rsidR="00F61251">
        <w:t>Furthermore, i</w:t>
      </w:r>
      <w:r w:rsidR="00442BA6">
        <w:t xml:space="preserve">t must not guarantee certain promises and deliver something quite different. </w:t>
      </w:r>
    </w:p>
    <w:p w:rsidR="00622954" w:rsidRDefault="00442BA6" w:rsidP="00462C0A">
      <w:pPr>
        <w:spacing w:after="0" w:line="480" w:lineRule="auto"/>
      </w:pPr>
      <w:r>
        <w:tab/>
        <w:t>The second quality Broadus recommends is that the introduction should generally consist of a single thought. Broadus writes, “…we do not want a porch to a porch.”</w:t>
      </w:r>
      <w:r>
        <w:rPr>
          <w:rStyle w:val="FootnoteReference"/>
        </w:rPr>
        <w:footnoteReference w:id="59"/>
      </w:r>
      <w:r>
        <w:t xml:space="preserve"> </w:t>
      </w:r>
      <w:r w:rsidR="00622954">
        <w:t>Although there are exceptions, Broadus suggests the best approach is to have clarity on the subject-matter and avoid multiple directions within the introduction.</w:t>
      </w:r>
    </w:p>
    <w:p w:rsidR="00622954" w:rsidRDefault="00622954" w:rsidP="00462C0A">
      <w:pPr>
        <w:spacing w:after="0" w:line="480" w:lineRule="auto"/>
      </w:pPr>
      <w:r>
        <w:tab/>
        <w:t>Another quality of a good introduction is to avoid opening the sermon by using broad and commonplace generalities about life or God. This approach is pardonable on occasion, but making it a habit is a promise of dullness, according to Broadus.</w:t>
      </w:r>
      <w:r>
        <w:rPr>
          <w:rStyle w:val="FootnoteReference"/>
        </w:rPr>
        <w:footnoteReference w:id="60"/>
      </w:r>
      <w:r>
        <w:t xml:space="preserve">  </w:t>
      </w:r>
    </w:p>
    <w:p w:rsidR="00BA5A21" w:rsidRDefault="00622954" w:rsidP="00462C0A">
      <w:pPr>
        <w:spacing w:after="0" w:line="480" w:lineRule="auto"/>
      </w:pPr>
      <w:r>
        <w:tab/>
        <w:t xml:space="preserve">A fourth quality </w:t>
      </w:r>
      <w:r w:rsidR="00E624AE">
        <w:t>that is essential for a good introduction is that it must not seem to promise too much in its thoughts, style, or delivery.</w:t>
      </w:r>
      <w:r w:rsidR="00E624AE">
        <w:rPr>
          <w:rStyle w:val="FootnoteReference"/>
        </w:rPr>
        <w:footnoteReference w:id="61"/>
      </w:r>
      <w:r w:rsidR="00E624AE">
        <w:t xml:space="preserve"> In other words, the introduction should not </w:t>
      </w:r>
      <w:r w:rsidR="00E624AE">
        <w:lastRenderedPageBreak/>
        <w:t>provide an expectation that cannot be met in the body of the sermon. Broadus explains, “…if the preacher is greatly excited at the outset, the audience usually are not, and he had better restrain himself so as not to get beyond the range of their sympathies.”</w:t>
      </w:r>
      <w:r w:rsidR="00E624AE">
        <w:rPr>
          <w:rStyle w:val="FootnoteReference"/>
        </w:rPr>
        <w:footnoteReference w:id="62"/>
      </w:r>
    </w:p>
    <w:p w:rsidR="00A35DEF" w:rsidRDefault="00BA5A21" w:rsidP="00462C0A">
      <w:pPr>
        <w:spacing w:after="0" w:line="480" w:lineRule="auto"/>
      </w:pPr>
      <w:r>
        <w:tab/>
      </w:r>
      <w:r w:rsidR="00A7702E">
        <w:t xml:space="preserve">A fifth quality of a good introduction requires that it be exclusively adapted to the particular sermon. Often speakers or preachers will use set phrases or stereotyped forms of introductions and the audience becomes aware of the pattern and discounts the introduction. According to Broadus, it is always best to use variety </w:t>
      </w:r>
      <w:r w:rsidR="00EB0948">
        <w:t>by habitually seeking to give the introduction a specific and exact adaptation.</w:t>
      </w:r>
      <w:r w:rsidR="00EB0948">
        <w:rPr>
          <w:rStyle w:val="FootnoteReference"/>
        </w:rPr>
        <w:footnoteReference w:id="63"/>
      </w:r>
      <w:r w:rsidR="00A7702E">
        <w:t xml:space="preserve"> </w:t>
      </w:r>
    </w:p>
    <w:p w:rsidR="00D43022" w:rsidRDefault="00A35DEF" w:rsidP="00462C0A">
      <w:pPr>
        <w:spacing w:after="0" w:line="480" w:lineRule="auto"/>
      </w:pPr>
      <w:r>
        <w:tab/>
        <w:t>Another quality of a good introduction is it must not be long.</w:t>
      </w:r>
      <w:r w:rsidR="00AE6BFA">
        <w:t xml:space="preserve"> According to Broadus, there was an eminent preacher who had the habit of long introductions. He was confronted by a plain old fellow who said, “Well, you kept us so long in the porch this morning that we hardly got into</w:t>
      </w:r>
      <w:r w:rsidR="00711872">
        <w:t xml:space="preserve"> </w:t>
      </w:r>
      <w:r w:rsidR="00AE6BFA">
        <w:t>the house at all.”</w:t>
      </w:r>
      <w:r w:rsidR="00AE6BFA">
        <w:rPr>
          <w:rStyle w:val="FootnoteReference"/>
        </w:rPr>
        <w:footnoteReference w:id="64"/>
      </w:r>
      <w:r w:rsidR="00855D0C">
        <w:t xml:space="preserve"> Broadus’ illustration makes the point, but he also warns that attempting to force a short introduction for brevity sake is unwise as well.</w:t>
      </w:r>
      <w:r w:rsidR="00855D0C">
        <w:rPr>
          <w:rStyle w:val="FootnoteReference"/>
        </w:rPr>
        <w:footnoteReference w:id="65"/>
      </w:r>
      <w:r w:rsidR="00AE6BFA">
        <w:t xml:space="preserve"> </w:t>
      </w:r>
    </w:p>
    <w:p w:rsidR="00DC1845" w:rsidRDefault="00D43022" w:rsidP="00462C0A">
      <w:pPr>
        <w:spacing w:after="0" w:line="480" w:lineRule="auto"/>
      </w:pPr>
      <w:r>
        <w:tab/>
        <w:t xml:space="preserve">The final quality that makes a good introduction is that it should be thoughtfully prepared. Broadus recommends that the presentation of the introduction should flow into the body of the sermon. For example, a preacher should not write out his introduction and read it when the body of the sermon is preached extemporaneously. In other words, the introduction should not seem wooden while the sermon is free-flowing or vice versa. Broadus suggests </w:t>
      </w:r>
      <w:r>
        <w:lastRenderedPageBreak/>
        <w:t>writing out the introduction at least with two sentences. The first sentence begins the introduction and seconds</w:t>
      </w:r>
      <w:r w:rsidR="004C72B7">
        <w:t xml:space="preserve"> sentence ends the introduction. If careful preparation</w:t>
      </w:r>
      <w:r w:rsidR="00716EC8">
        <w:t xml:space="preserve"> is achieved</w:t>
      </w:r>
      <w:r w:rsidR="004C72B7">
        <w:t xml:space="preserve"> for the middle of the introduction it should be delivered effectively.</w:t>
      </w:r>
    </w:p>
    <w:p w:rsidR="00DA33F8" w:rsidRDefault="001C137E" w:rsidP="00462C0A">
      <w:pPr>
        <w:spacing w:after="0" w:line="480" w:lineRule="auto"/>
      </w:pPr>
      <w:r>
        <w:tab/>
        <w:t>In light of</w:t>
      </w:r>
      <w:r w:rsidR="00DC1845">
        <w:t xml:space="preserve"> Broadus’</w:t>
      </w:r>
      <w:r>
        <w:t xml:space="preserve"> teachings</w:t>
      </w:r>
      <w:r w:rsidR="00DC1845">
        <w:t xml:space="preserve"> on introductions to sermons, this student will now evaluate Broadus’ introduction to his sermon, “The Lord’s Prayer” based </w:t>
      </w:r>
      <w:r>
        <w:t>on Matthew 6:9</w:t>
      </w:r>
      <w:r w:rsidR="00A95270">
        <w:t>-15</w:t>
      </w:r>
      <w:r>
        <w:t xml:space="preserve">. </w:t>
      </w:r>
      <w:r w:rsidR="00DA33F8">
        <w:t xml:space="preserve"> Broadus writes:</w:t>
      </w:r>
    </w:p>
    <w:p w:rsidR="001C137E" w:rsidRDefault="00DA33F8" w:rsidP="001C137E">
      <w:pPr>
        <w:spacing w:after="0" w:line="240" w:lineRule="auto"/>
        <w:ind w:left="720"/>
      </w:pPr>
      <w:r>
        <w:t xml:space="preserve">The Prayer which thus begins, which for many ages has been called among Christians “the Lord’s Prayer,” is above all eulogium for its sweetness. No wonder this is so! For our Lord presents it as a specimen, as a model of prayer. He said, “When ye pray, use not vain repetitions, as heathens do: for they think that they shall be heard for their much speaking,” saying over the same thing a thousand times. “Be ye not therefore like unto them; for your </w:t>
      </w:r>
      <w:r w:rsidR="001C137E">
        <w:t xml:space="preserve">Father </w:t>
      </w:r>
      <w:proofErr w:type="spellStart"/>
      <w:r w:rsidR="001C137E">
        <w:t>knoweth</w:t>
      </w:r>
      <w:proofErr w:type="spellEnd"/>
      <w:r w:rsidR="001C137E">
        <w:t xml:space="preserve"> what things ye have need of, before ye ask him…” He gives it as a sample, as a model.</w:t>
      </w:r>
      <w:r w:rsidR="001C137E">
        <w:rPr>
          <w:rStyle w:val="FootnoteReference"/>
        </w:rPr>
        <w:footnoteReference w:id="66"/>
      </w:r>
      <w:r w:rsidR="001C137E">
        <w:t xml:space="preserve">  </w:t>
      </w:r>
    </w:p>
    <w:p w:rsidR="001C137E" w:rsidRDefault="001C137E" w:rsidP="001C137E">
      <w:pPr>
        <w:spacing w:after="0" w:line="240" w:lineRule="auto"/>
      </w:pPr>
    </w:p>
    <w:p w:rsidR="00B12253" w:rsidRDefault="00E23F2F" w:rsidP="001C137E">
      <w:pPr>
        <w:spacing w:after="0" w:line="480" w:lineRule="auto"/>
      </w:pPr>
      <w:r>
        <w:t>It is important to remember that Broadus did not write a full manuscript for most of his sermons.</w:t>
      </w:r>
      <w:r>
        <w:rPr>
          <w:rStyle w:val="FootnoteReference"/>
        </w:rPr>
        <w:footnoteReference w:id="67"/>
      </w:r>
      <w:r>
        <w:t xml:space="preserve"> Although the sermon examined by this student seems complete in full manuscript form it is possible that Broadus had expressed further thoughts not given in the written sermon. Nevertheless, the analysis is based on what </w:t>
      </w:r>
      <w:r w:rsidR="00E44C4B">
        <w:t>is written, and with that in mind, one can see that Broadus’</w:t>
      </w:r>
      <w:r w:rsidR="002B1764">
        <w:t xml:space="preserve"> introduction is drawn from the text. Broadus explains, “Whenever the meaning of the text requires explanation, this explanation may of course form the introduction.”</w:t>
      </w:r>
      <w:r w:rsidR="002B1764">
        <w:rPr>
          <w:rStyle w:val="FootnoteReference"/>
        </w:rPr>
        <w:footnoteReference w:id="68"/>
      </w:r>
      <w:r w:rsidR="0078699E">
        <w:t xml:space="preserve"> Broadus is true to his instruction. His opening words immediately begin to explain the text. In fact, there is scarcely a word that is wasted in the first three sentences of his introduction.</w:t>
      </w:r>
      <w:r w:rsidR="00DB3EF7">
        <w:t xml:space="preserve"> Does Broadus’</w:t>
      </w:r>
      <w:r w:rsidR="009E42E7">
        <w:t xml:space="preserve"> opening statements</w:t>
      </w:r>
      <w:r w:rsidR="00DB3EF7">
        <w:t xml:space="preserve"> meet the chief objectives of an introduction?</w:t>
      </w:r>
      <w:r w:rsidR="0093370D">
        <w:t xml:space="preserve"> Does it make the hearer interested in the subject? Does it help prepare the listener to understand the subject?</w:t>
      </w:r>
      <w:r w:rsidR="00DB3EF7">
        <w:t xml:space="preserve"> It is difficult</w:t>
      </w:r>
      <w:r w:rsidR="0093370D">
        <w:t xml:space="preserve"> </w:t>
      </w:r>
      <w:r w:rsidR="0093370D">
        <w:lastRenderedPageBreak/>
        <w:t>to answer the former. Broadus’ audience had less technical distractions than modern day believers. For believers today, Broadus’ opening words are not far</w:t>
      </w:r>
      <w:r w:rsidR="00A95270">
        <w:t xml:space="preserve"> beyond ordinary. In fact, they would do</w:t>
      </w:r>
      <w:r w:rsidR="0093370D">
        <w:t xml:space="preserve"> very little to force the</w:t>
      </w:r>
      <w:r w:rsidR="00A95270">
        <w:t xml:space="preserve"> modern day</w:t>
      </w:r>
      <w:r w:rsidR="0093370D">
        <w:t xml:space="preserve"> listener to awaken to what is coming next</w:t>
      </w:r>
      <w:r w:rsidR="00A95270">
        <w:t xml:space="preserve"> given the aggressive nature of</w:t>
      </w:r>
      <w:r w:rsidR="000A3487">
        <w:t xml:space="preserve"> today’s</w:t>
      </w:r>
      <w:r w:rsidR="00A95270">
        <w:t xml:space="preserve"> technology</w:t>
      </w:r>
      <w:r w:rsidR="000A3487">
        <w:t xml:space="preserve"> and the desire to be entertained</w:t>
      </w:r>
      <w:r w:rsidR="00940B0C">
        <w:t>. However, concerning the latter, Broadus demonstrates a mastery at preparing the listener to understand the subject. Even more impressive, he accomplishes his objective in very few sentences.</w:t>
      </w:r>
      <w:r w:rsidR="00030094">
        <w:t xml:space="preserve"> </w:t>
      </w:r>
      <w:r w:rsidR="0093370D">
        <w:t xml:space="preserve"> </w:t>
      </w:r>
    </w:p>
    <w:p w:rsidR="00161C99" w:rsidRDefault="00B12253" w:rsidP="001C137E">
      <w:pPr>
        <w:spacing w:after="0" w:line="480" w:lineRule="auto"/>
      </w:pPr>
      <w:r>
        <w:tab/>
        <w:t>Does Broadus’ introduction have qualities that reflect his own teaching concerning the subject? Overwhelmingly, the answer is yes. The introduction is closely related to the sermon topic</w:t>
      </w:r>
      <w:r w:rsidR="008F212B">
        <w:t xml:space="preserve">. The Lord’s Prayer is the single thought of the introduction and leads into the body of the sermon. Broadus has a very specific </w:t>
      </w:r>
      <w:r w:rsidR="00161C99">
        <w:t>thought in mind about praying</w:t>
      </w:r>
      <w:r w:rsidR="008F212B">
        <w:t xml:space="preserve"> and not a broad generality about the subject. He does not overdo the introduction with promises that are not in keeping with the text. The introduction is related to the subject matter. It certainly is not too long; and it is carefully prepared.</w:t>
      </w:r>
      <w:r w:rsidR="00161C99">
        <w:t xml:space="preserve"> Overall, Broadus meets the requirements of a strong introduction according to his own criteria.</w:t>
      </w:r>
    </w:p>
    <w:p w:rsidR="00084A93" w:rsidRDefault="00161C99" w:rsidP="001C137E">
      <w:pPr>
        <w:spacing w:after="0" w:line="480" w:lineRule="auto"/>
      </w:pPr>
      <w:r>
        <w:tab/>
        <w:t>There is one question this student raises concerning Broadus’ introduction. Broadus’ words cannot be separated from Broadus’</w:t>
      </w:r>
      <w:r w:rsidR="00DC7072">
        <w:t xml:space="preserve"> himself. Because he </w:t>
      </w:r>
      <w:r>
        <w:t>was such a prominent figure in his day</w:t>
      </w:r>
      <w:r w:rsidR="00DC7072">
        <w:t>, his words, although ordinary at times, were given value that an average preacher would not be afforded. With that in mind, would his introduction be more receptive by people than if another preacher used the same words in his introduction? If so, what does that say about the quality of the introduction?</w:t>
      </w:r>
    </w:p>
    <w:p w:rsidR="00BF2EEE" w:rsidRDefault="00084A93" w:rsidP="001C137E">
      <w:pPr>
        <w:spacing w:after="0" w:line="480" w:lineRule="auto"/>
      </w:pPr>
      <w:r>
        <w:tab/>
      </w:r>
      <w:r w:rsidR="00D14500">
        <w:t>After the introduction, Broadus moves into an explanation of the text of the Lord’s Prayer. In his textbook, he provide</w:t>
      </w:r>
      <w:r w:rsidR="005A1BAB">
        <w:t>s the student with a chapter</w:t>
      </w:r>
      <w:r w:rsidR="00D14500">
        <w:t xml:space="preserve"> called, “The Text – Interpretation.” The section gives su</w:t>
      </w:r>
      <w:r w:rsidR="005A1BAB">
        <w:t xml:space="preserve">ggestions on how to exegete a passage. Although not a full </w:t>
      </w:r>
      <w:r w:rsidR="005A1BAB">
        <w:lastRenderedPageBreak/>
        <w:t>treatment on hermeneutics, it is practical and points the reader in the right direction to study the Scripture.</w:t>
      </w:r>
      <w:r w:rsidR="00BF2EEE">
        <w:t xml:space="preserve"> Broadus explains, “…it seems best to give, positively, some account of the principles upon which one must proceed if he would interpret correctly. Good treatises on interpretation </w:t>
      </w:r>
      <w:r w:rsidR="000A3487">
        <w:t>a</w:t>
      </w:r>
      <w:r w:rsidR="00BF2EEE">
        <w:t>re accessible.”</w:t>
      </w:r>
      <w:r w:rsidR="00BF2EEE">
        <w:rPr>
          <w:rStyle w:val="FootnoteReference"/>
        </w:rPr>
        <w:footnoteReference w:id="69"/>
      </w:r>
      <w:r w:rsidR="00BF2EEE">
        <w:t xml:space="preserve"> </w:t>
      </w:r>
      <w:r w:rsidR="005A1BAB">
        <w:t xml:space="preserve"> </w:t>
      </w:r>
    </w:p>
    <w:p w:rsidR="004B16BB" w:rsidRDefault="005A1BAB" w:rsidP="00BF2EEE">
      <w:pPr>
        <w:spacing w:after="0" w:line="480" w:lineRule="auto"/>
        <w:ind w:firstLine="720"/>
      </w:pPr>
      <w:r>
        <w:t xml:space="preserve">Within the chapter </w:t>
      </w:r>
      <w:r w:rsidR="007A3D20">
        <w:t xml:space="preserve">on interpretation </w:t>
      </w:r>
      <w:r>
        <w:t>there is a section that provides suggestions for studying the text. The suggestions include, (1) Study the text minutely; (2) Study the text in its immediate connections; and (3) Study the text in its larger connections. The first</w:t>
      </w:r>
      <w:r w:rsidR="00BF2EEE">
        <w:t xml:space="preserve"> suggestion exhorts the reader to notice carefully the grammar and rhetoric of the text. The involves word studies, </w:t>
      </w:r>
      <w:r w:rsidR="00D3699E">
        <w:t xml:space="preserve">examining phrases, </w:t>
      </w:r>
      <w:r w:rsidR="00BF2EEE">
        <w:t xml:space="preserve">grammatical studies </w:t>
      </w:r>
      <w:r w:rsidR="00975EEA">
        <w:t>in the Hebrew and Greek</w:t>
      </w:r>
      <w:r w:rsidR="00276A06">
        <w:t>,</w:t>
      </w:r>
      <w:r w:rsidR="00D3699E">
        <w:t xml:space="preserve"> and paying attention to any figurative language</w:t>
      </w:r>
      <w:r w:rsidR="00975EEA">
        <w:t xml:space="preserve">. </w:t>
      </w:r>
      <w:r w:rsidR="0025228E">
        <w:t xml:space="preserve">In essence, </w:t>
      </w:r>
      <w:r w:rsidR="009B4BC9">
        <w:t>Broadus</w:t>
      </w:r>
      <w:r w:rsidR="00975EEA">
        <w:t xml:space="preserve"> recommends looking at the text with a microscope</w:t>
      </w:r>
      <w:r w:rsidR="00D3699E">
        <w:t xml:space="preserve"> mentality</w:t>
      </w:r>
      <w:r w:rsidR="00975EEA">
        <w:t>.</w:t>
      </w:r>
      <w:r w:rsidR="00975EEA">
        <w:rPr>
          <w:rStyle w:val="FootnoteReference"/>
        </w:rPr>
        <w:footnoteReference w:id="70"/>
      </w:r>
      <w:r w:rsidR="000A3487">
        <w:t xml:space="preserve"> </w:t>
      </w:r>
      <w:r w:rsidR="00D3699E">
        <w:t>In the second suggestion, Broadus tells the reader to consider the immediate context of the passage. This normally requires looking at a few verses or chapters before and after the text that is being studied.</w:t>
      </w:r>
      <w:r w:rsidR="00D3699E">
        <w:rPr>
          <w:rStyle w:val="FootnoteReference"/>
        </w:rPr>
        <w:footnoteReference w:id="71"/>
      </w:r>
      <w:r w:rsidR="004C1A3F">
        <w:t xml:space="preserve"> The final suggestion requires studying the text in its larger context</w:t>
      </w:r>
      <w:r w:rsidR="00C06581">
        <w:t xml:space="preserve">. Broadus </w:t>
      </w:r>
      <w:r w:rsidR="004C1A3F">
        <w:t>writes, “</w:t>
      </w:r>
      <w:r w:rsidR="00E656C1">
        <w:t>Few things are to be so earnestly urged upon the student of Scripture as that he shall habitually study its books with reference to their whole connection.”</w:t>
      </w:r>
      <w:r w:rsidR="00E656C1">
        <w:rPr>
          <w:rStyle w:val="FootnoteReference"/>
        </w:rPr>
        <w:footnoteReference w:id="72"/>
      </w:r>
      <w:r w:rsidR="00C06581">
        <w:t xml:space="preserve"> Broadus notes that often times the main idea of a specific text is closely connected with the entire book. To disregard the greater context is to the detriment of the preacher and to those who will be listening to the sermon. </w:t>
      </w:r>
      <w:r w:rsidR="001962CE">
        <w:t xml:space="preserve">Also, studying the greater context can provide important historical and theological information that will bring greater clarity to the passage under </w:t>
      </w:r>
      <w:r w:rsidR="001962CE">
        <w:lastRenderedPageBreak/>
        <w:t>consideration.</w:t>
      </w:r>
      <w:r w:rsidR="006D65E6">
        <w:t xml:space="preserve"> Finally, Broadus believes that scripture must be interpreted in accordance with,</w:t>
      </w:r>
      <w:r w:rsidR="00686A7B">
        <w:t xml:space="preserve"> and not contrary to, the general teachings of Scripture.</w:t>
      </w:r>
      <w:r w:rsidR="00686A7B">
        <w:rPr>
          <w:rStyle w:val="FootnoteReference"/>
        </w:rPr>
        <w:footnoteReference w:id="73"/>
      </w:r>
      <w:r w:rsidR="00686A7B">
        <w:t xml:space="preserve"> At this point using scripture references will aid in the process and bring a more accurate understanding of the text.   </w:t>
      </w:r>
      <w:r w:rsidR="001962CE">
        <w:t xml:space="preserve"> </w:t>
      </w:r>
    </w:p>
    <w:p w:rsidR="004B16BB" w:rsidRDefault="004B16BB" w:rsidP="00BF2EEE">
      <w:pPr>
        <w:spacing w:after="0" w:line="480" w:lineRule="auto"/>
        <w:ind w:firstLine="720"/>
      </w:pPr>
      <w:r>
        <w:t>Broadus employees these principles of interpretation in his sermon on the Lord’s Prayer. Following the introduction</w:t>
      </w:r>
      <w:r w:rsidR="00B51E01">
        <w:t xml:space="preserve"> of the sermon</w:t>
      </w:r>
      <w:r>
        <w:t xml:space="preserve">, Broadus immediately begins explaining the passage by cross referencing it with Luke’s recording of the prayer. Broadus writes, </w:t>
      </w:r>
    </w:p>
    <w:p w:rsidR="00B51E01" w:rsidRDefault="004B16BB" w:rsidP="004B16BB">
      <w:pPr>
        <w:spacing w:after="0" w:line="240" w:lineRule="auto"/>
        <w:ind w:left="720"/>
      </w:pPr>
      <w:r>
        <w:t>“… So on a later occasion, recorded in the 11</w:t>
      </w:r>
      <w:r w:rsidRPr="004B16BB">
        <w:rPr>
          <w:vertAlign w:val="superscript"/>
        </w:rPr>
        <w:t>th</w:t>
      </w:r>
      <w:r>
        <w:t xml:space="preserve"> Chapter of Luke – probably a long time after this [referring to Matthew’s account], most likely in quite another part of the country, certainly on a later occasion – our Lord was praying himself, and when he ceased the disciples asked him “Teach us to pray” and he said “When you pray, say:” and then he gave them substantially the same prayer as the one here before us.</w:t>
      </w:r>
      <w:r w:rsidR="00B51E01">
        <w:rPr>
          <w:rStyle w:val="FootnoteReference"/>
        </w:rPr>
        <w:footnoteReference w:id="74"/>
      </w:r>
      <w:r>
        <w:t xml:space="preserve">   </w:t>
      </w:r>
      <w:r w:rsidR="00C06581">
        <w:t xml:space="preserve"> </w:t>
      </w:r>
    </w:p>
    <w:p w:rsidR="00B51E01" w:rsidRDefault="00B51E01" w:rsidP="004B16BB">
      <w:pPr>
        <w:spacing w:after="0" w:line="240" w:lineRule="auto"/>
        <w:ind w:left="720"/>
      </w:pPr>
    </w:p>
    <w:p w:rsidR="003B0697" w:rsidRDefault="00B51E01" w:rsidP="00B51E01">
      <w:pPr>
        <w:spacing w:after="0" w:line="480" w:lineRule="auto"/>
      </w:pPr>
      <w:r>
        <w:t>In other words, Broadus uses the larger context of the passage to help the listener better understand the meaning of the text. In fact, Broadus uses the larger context to demonstrate that Jesus was providing the prayer not as a form to be repeated word for word, but as a model to guide</w:t>
      </w:r>
      <w:r w:rsidR="003B0697">
        <w:t xml:space="preserve"> the believer in seeking God. Broadus</w:t>
      </w:r>
      <w:r>
        <w:t xml:space="preserve"> argues that because Matthew and Luke used different wording</w:t>
      </w:r>
      <w:r w:rsidR="00D85AAA">
        <w:t xml:space="preserve"> for the prayer that Jesus’ concern was for the content of the prayer and not the form. Otherwise, if Jesus would have been interested in the form he would have stated</w:t>
      </w:r>
      <w:r w:rsidR="00901033">
        <w:t xml:space="preserve"> the prayer in the exact</w:t>
      </w:r>
      <w:r w:rsidR="00D85AAA">
        <w:t xml:space="preserve"> manner in both cases.  </w:t>
      </w:r>
    </w:p>
    <w:p w:rsidR="00161C99" w:rsidRDefault="003B0697" w:rsidP="00B51E01">
      <w:pPr>
        <w:spacing w:after="0" w:line="480" w:lineRule="auto"/>
      </w:pPr>
      <w:r>
        <w:tab/>
        <w:t>Broadus also addresses another issue by using the larger context of the passage. By demonstrating that Jesus’ was more interest</w:t>
      </w:r>
      <w:r w:rsidR="00901033">
        <w:t>ed</w:t>
      </w:r>
      <w:r>
        <w:t xml:space="preserve"> in the content of the prayer </w:t>
      </w:r>
      <w:r w:rsidR="000A3487">
        <w:t>and not the form, Broadus skill</w:t>
      </w:r>
      <w:r>
        <w:t xml:space="preserve">fully handles the textual criticism issues of why both </w:t>
      </w:r>
      <w:r w:rsidR="00901033">
        <w:t>prayers have different wording, but the same general meaning.</w:t>
      </w:r>
      <w:r>
        <w:t xml:space="preserve">  </w:t>
      </w:r>
      <w:r w:rsidR="00B51E01">
        <w:t xml:space="preserve">  </w:t>
      </w:r>
      <w:r w:rsidR="00D3699E">
        <w:t xml:space="preserve"> </w:t>
      </w:r>
    </w:p>
    <w:p w:rsidR="00411D59" w:rsidRDefault="00DC3BA8" w:rsidP="00B51E01">
      <w:pPr>
        <w:spacing w:after="0" w:line="480" w:lineRule="auto"/>
      </w:pPr>
      <w:r>
        <w:lastRenderedPageBreak/>
        <w:tab/>
        <w:t>After the explanation regarding the form of the prayer, Broadus exhorts the reader to consider the flow of the text</w:t>
      </w:r>
      <w:r w:rsidR="00411D59">
        <w:t xml:space="preserve">, which </w:t>
      </w:r>
      <w:r>
        <w:t>in</w:t>
      </w:r>
      <w:r w:rsidR="00411D59">
        <w:t xml:space="preserve">volves studying the verses </w:t>
      </w:r>
      <w:r>
        <w:t>closely. He writes, “And my brethren, I venture to ask your special attention to this model in one respect. We have two good classes of petitions here, as is obvious at once, petitions with reference to God’s glory, and petitions with reference with reference to our own good.”</w:t>
      </w:r>
      <w:r>
        <w:rPr>
          <w:rStyle w:val="FootnoteReference"/>
        </w:rPr>
        <w:footnoteReference w:id="75"/>
      </w:r>
      <w:r w:rsidR="00620BD7">
        <w:t xml:space="preserve"> </w:t>
      </w:r>
      <w:r w:rsidR="00411D59">
        <w:t>Broadus continues by my making the point that many believers get the petitions out of order.</w:t>
      </w:r>
      <w:r w:rsidR="000A3487">
        <w:t xml:space="preserve"> In the passage, “Hallowed Be thy name” comes before “</w:t>
      </w:r>
      <w:r w:rsidR="00526EE3">
        <w:t>Give us this day…”</w:t>
      </w:r>
      <w:r w:rsidR="00553D68">
        <w:t xml:space="preserve"> </w:t>
      </w:r>
      <w:r w:rsidR="005D61AA">
        <w:t>Many believers get in wrong. Their</w:t>
      </w:r>
      <w:r w:rsidR="00411D59">
        <w:t xml:space="preserve"> prayer lives involve petitions about themselves first and leave God’s glory for last. Broadus simply takes the flow and structure of text to demonstrate the proper order of the believer’s prayer life. God’s glory must come first, then the attention can be focused on the believer.</w:t>
      </w:r>
      <w:r w:rsidR="00411D59">
        <w:rPr>
          <w:rStyle w:val="FootnoteReference"/>
        </w:rPr>
        <w:footnoteReference w:id="76"/>
      </w:r>
      <w:r w:rsidR="00411D59">
        <w:t xml:space="preserve"> </w:t>
      </w:r>
    </w:p>
    <w:p w:rsidR="001C137E" w:rsidRDefault="00411D59" w:rsidP="001C137E">
      <w:pPr>
        <w:spacing w:after="0" w:line="480" w:lineRule="auto"/>
      </w:pPr>
      <w:r>
        <w:tab/>
        <w:t>When looking at Broadus’ exegesis of the pas</w:t>
      </w:r>
      <w:r w:rsidR="006833CE">
        <w:t>sage it is evident that he embraces his teaching on proper interpretation. Each segment of the passage is broken down and discussed in length. He uses other verses to help support the intended meaning of the focal text. For example, Broadus explains, “Hallowed be thy name” by citing the fifth chapter of Isaiah. He writes, “We have a model here (referring to God’s holiness) in the picture given by Isaiah, the adoring Seraphs covering their faces in awe befor</w:t>
      </w:r>
      <w:r w:rsidR="00E606EF">
        <w:t>e the throne. What do they cry…? “Holy, Holy, Holy, the Lord God of Hosts.” That is the central thought, that ought to be our deepest desire.”</w:t>
      </w:r>
      <w:r w:rsidR="00E606EF">
        <w:rPr>
          <w:rStyle w:val="FootnoteReference"/>
        </w:rPr>
        <w:footnoteReference w:id="77"/>
      </w:r>
      <w:r w:rsidR="00E606EF">
        <w:t xml:space="preserve"> Broadus sermon is filled with similar examples. He uses other verses to help illuminate the truth of the immediate text.</w:t>
      </w:r>
    </w:p>
    <w:p w:rsidR="00E606EF" w:rsidRDefault="00E606EF" w:rsidP="001C137E">
      <w:pPr>
        <w:spacing w:after="0" w:line="480" w:lineRule="auto"/>
      </w:pPr>
      <w:r>
        <w:lastRenderedPageBreak/>
        <w:tab/>
        <w:t xml:space="preserve">Broadus also uses word studies to help the listener better understand the text. For example, in </w:t>
      </w:r>
      <w:r w:rsidR="0012249B">
        <w:t>the first main division, sub-</w:t>
      </w:r>
      <w:r>
        <w:t>point two of the sermon Broadus writes:</w:t>
      </w:r>
    </w:p>
    <w:p w:rsidR="00E606EF" w:rsidRDefault="00E606EF" w:rsidP="00934EBC">
      <w:pPr>
        <w:spacing w:after="0" w:line="240" w:lineRule="auto"/>
        <w:ind w:left="720"/>
      </w:pPr>
      <w:r>
        <w:t>And the second petition, “Thy reign come</w:t>
      </w:r>
      <w:r w:rsidR="00934EBC">
        <w:t>.” I am not going to explain all these simple words of course, but here is one that wants explaining. The Greek word which is rendered “kingdom” in the text requires three English words to convey its meaning. Primarily the word means “kingship,” the condition of being a king, the possession of royal power. Then secondarily it means “reign,” the exercise of royal power. A final derivation it means what we call “kingdom,” subjects or territory over whom or in which this royal power is exercised…And the reference is to the Messianic reign…</w:t>
      </w:r>
      <w:r w:rsidR="00934EBC">
        <w:rPr>
          <w:rStyle w:val="FootnoteReference"/>
        </w:rPr>
        <w:footnoteReference w:id="78"/>
      </w:r>
      <w:r w:rsidR="00934EBC">
        <w:t xml:space="preserve">    </w:t>
      </w:r>
    </w:p>
    <w:p w:rsidR="0045375A" w:rsidRDefault="0045375A" w:rsidP="00934EBC">
      <w:pPr>
        <w:spacing w:after="0" w:line="240" w:lineRule="auto"/>
        <w:ind w:left="720"/>
      </w:pPr>
    </w:p>
    <w:p w:rsidR="00904772" w:rsidRDefault="00DC0497" w:rsidP="00DC0497">
      <w:pPr>
        <w:spacing w:after="0" w:line="480" w:lineRule="auto"/>
      </w:pPr>
      <w:r>
        <w:t>These word studies speak to Broadus’ desire to accurately interpret the text</w:t>
      </w:r>
      <w:r w:rsidR="0012249B">
        <w:t>,</w:t>
      </w:r>
      <w:r>
        <w:t xml:space="preserve"> and are good examples of Broadus implementing his instructions found in his textbook. </w:t>
      </w:r>
    </w:p>
    <w:p w:rsidR="00422CBA" w:rsidRDefault="00904772" w:rsidP="00422CBA">
      <w:pPr>
        <w:spacing w:after="0" w:line="480" w:lineRule="auto"/>
      </w:pPr>
      <w:r>
        <w:tab/>
        <w:t>The use of illustration also played an important role in Broadus’ sermon.</w:t>
      </w:r>
      <w:r w:rsidR="00A94597">
        <w:t xml:space="preserve"> For example, when discussing the holiness of God and that God’s name should be hallowed, Broadus</w:t>
      </w:r>
      <w:r w:rsidR="00422CBA">
        <w:t xml:space="preserve"> writes:</w:t>
      </w:r>
    </w:p>
    <w:p w:rsidR="00E7315D" w:rsidRDefault="00A94597" w:rsidP="00422CBA">
      <w:pPr>
        <w:spacing w:after="0" w:line="240" w:lineRule="auto"/>
        <w:ind w:left="720"/>
      </w:pPr>
      <w:r>
        <w:t>But my brethren, have we nothing to do but to look with horror at other men’s profanity? There are some things important to our own life here. Have a care that while you may not use in vain the sacred name of God itself, you shall not fall into the practice of using other sacred expressions lightly and irreverently… Have a care how you repeat the profanity of other men</w:t>
      </w:r>
      <w:r w:rsidR="00422CBA">
        <w:t xml:space="preserve">. You want to tell a good story </w:t>
      </w:r>
      <w:r>
        <w:t xml:space="preserve">and the point of it perhaps lies in a profane </w:t>
      </w:r>
      <w:r w:rsidR="00422CBA">
        <w:t>expression. Now is it that you should repeat that expression? Is it good for yourself to repeat it? Is it healthy?</w:t>
      </w:r>
      <w:r w:rsidR="00422CBA">
        <w:rPr>
          <w:rStyle w:val="FootnoteReference"/>
        </w:rPr>
        <w:footnoteReference w:id="79"/>
      </w:r>
      <w:r>
        <w:t xml:space="preserve"> </w:t>
      </w:r>
    </w:p>
    <w:p w:rsidR="00E7315D" w:rsidRDefault="00E7315D" w:rsidP="00422CBA">
      <w:pPr>
        <w:spacing w:after="0" w:line="240" w:lineRule="auto"/>
        <w:ind w:left="720"/>
      </w:pPr>
    </w:p>
    <w:p w:rsidR="005A0285" w:rsidRDefault="00141263" w:rsidP="00555A3A">
      <w:pPr>
        <w:spacing w:after="0" w:line="480" w:lineRule="auto"/>
      </w:pPr>
      <w:r>
        <w:t>Another example</w:t>
      </w:r>
      <w:r w:rsidR="006F574B">
        <w:t xml:space="preserve"> of an illustration in Broadus’ sermon is found in the second main division, in sub-point three. Broadus is addressing the phrase, “bring us not into temptation.” He makes the point that this petition is a plea for mercy through God’s </w:t>
      </w:r>
      <w:r w:rsidR="00654C39">
        <w:t>providential hand that</w:t>
      </w:r>
      <w:r w:rsidR="006F574B">
        <w:t xml:space="preserve"> the believer</w:t>
      </w:r>
      <w:r w:rsidR="00654C39">
        <w:t xml:space="preserve"> would not be led</w:t>
      </w:r>
      <w:r w:rsidR="006F574B">
        <w:t xml:space="preserve"> into</w:t>
      </w:r>
      <w:r w:rsidR="00654C39">
        <w:t xml:space="preserve"> circumstances that would open the door for </w:t>
      </w:r>
      <w:r w:rsidR="006F574B">
        <w:t>temptation</w:t>
      </w:r>
      <w:r w:rsidR="00654C39">
        <w:t>. Believers are weak</w:t>
      </w:r>
      <w:r w:rsidR="002A583B">
        <w:t xml:space="preserve"> </w:t>
      </w:r>
      <w:r w:rsidR="00654C39">
        <w:t>and desperately need all the help possible to escape the allurement of sin</w:t>
      </w:r>
      <w:r w:rsidR="002A583B">
        <w:t>, according to Broadus</w:t>
      </w:r>
      <w:r w:rsidR="00654C39">
        <w:t>. Unfortunately, many believers walk too closely to temptation and sin. It is better to rem</w:t>
      </w:r>
      <w:r w:rsidR="005A0285">
        <w:t>ove one</w:t>
      </w:r>
      <w:r w:rsidR="005E0F47">
        <w:t xml:space="preserve">self as far as possible from such </w:t>
      </w:r>
      <w:r w:rsidR="0018351B">
        <w:t>evil things</w:t>
      </w:r>
      <w:r w:rsidR="005A0285">
        <w:t xml:space="preserve">. Broadus </w:t>
      </w:r>
      <w:r w:rsidR="0018351B">
        <w:t>illustrates</w:t>
      </w:r>
      <w:r w:rsidR="005A0285">
        <w:t xml:space="preserve"> </w:t>
      </w:r>
      <w:r w:rsidR="0018351B">
        <w:t>that point when he writes</w:t>
      </w:r>
      <w:r w:rsidR="005A0285">
        <w:t>:</w:t>
      </w:r>
    </w:p>
    <w:p w:rsidR="00141263" w:rsidRDefault="005A0285" w:rsidP="005A0285">
      <w:pPr>
        <w:spacing w:after="0" w:line="240" w:lineRule="auto"/>
        <w:ind w:left="720"/>
      </w:pPr>
      <w:r>
        <w:lastRenderedPageBreak/>
        <w:t xml:space="preserve">A man advertised for a coachman, and when the applicants came, he asked each one, “How near would you undertake to run my carriage wheel to the edge of the precipice?” The first one said he would run within a foot of it. The second said he would run within six inches. The third was an Irishman, who said, “I would </w:t>
      </w:r>
      <w:proofErr w:type="spellStart"/>
      <w:r>
        <w:t>kape</w:t>
      </w:r>
      <w:proofErr w:type="spellEnd"/>
      <w:r>
        <w:t xml:space="preserve"> away as far as I could,” – and he got the place.</w:t>
      </w:r>
      <w:r>
        <w:rPr>
          <w:rStyle w:val="FootnoteReference"/>
        </w:rPr>
        <w:footnoteReference w:id="80"/>
      </w:r>
      <w:r w:rsidR="006F574B">
        <w:t xml:space="preserve">   </w:t>
      </w:r>
    </w:p>
    <w:p w:rsidR="00654834" w:rsidRDefault="00654834" w:rsidP="00555A3A">
      <w:pPr>
        <w:spacing w:after="0" w:line="480" w:lineRule="auto"/>
      </w:pPr>
    </w:p>
    <w:p w:rsidR="00607F3C" w:rsidRDefault="00654834" w:rsidP="00607F3C">
      <w:pPr>
        <w:spacing w:after="0" w:line="480" w:lineRule="auto"/>
      </w:pPr>
      <w:r>
        <w:t xml:space="preserve">These examples correspond with Broadus’ teaching on illustration in his textbook. For example, </w:t>
      </w:r>
      <w:r w:rsidR="00551329">
        <w:t>under the section, “Various Materials -Illustrations,” Broadus list a number of uses for illustrations.</w:t>
      </w:r>
      <w:r w:rsidR="0089565E">
        <w:t xml:space="preserve"> Two, in particular, resonate with Broadus’ sermon. The first </w:t>
      </w:r>
      <w:r w:rsidR="00551329">
        <w:t xml:space="preserve">is that illustrations are used to explain. Broadus writes, “This they [illustrations] </w:t>
      </w:r>
      <w:r w:rsidR="000B5C3E">
        <w:t>do either by presenting an example of the matter in hand, a case in point, or by presenting something similar or analogous to it…”</w:t>
      </w:r>
      <w:r w:rsidR="000B5C3E">
        <w:rPr>
          <w:rStyle w:val="FootnoteReference"/>
        </w:rPr>
        <w:footnoteReference w:id="81"/>
      </w:r>
      <w:r w:rsidR="0089565E">
        <w:t xml:space="preserve"> In the first illustration stated above Broadus provides an example of how easily men use profanity and disgrace God’s name. </w:t>
      </w:r>
      <w:r w:rsidR="00607F3C">
        <w:t xml:space="preserve">This illustration is a case in point of how people are not living up to what God intends. </w:t>
      </w:r>
    </w:p>
    <w:p w:rsidR="00440DFF" w:rsidRDefault="00607F3C" w:rsidP="00607F3C">
      <w:pPr>
        <w:spacing w:after="0" w:line="480" w:lineRule="auto"/>
        <w:ind w:firstLine="720"/>
      </w:pPr>
      <w:r>
        <w:t>The second illustration falls under the usage that they can be an excellent source for arousing attention. Broadus explains, “…if the attention [of the audience] has been somewhat strained by argument or description and begins to flag. They thus, as Beecher says, afford variety and rest to the mind; and this is very important.”</w:t>
      </w:r>
      <w:r>
        <w:rPr>
          <w:rStyle w:val="FootnoteReference"/>
        </w:rPr>
        <w:footnoteReference w:id="82"/>
      </w:r>
      <w:r w:rsidR="00440DFF">
        <w:t xml:space="preserve"> Broadus’ second illustration given above provided a mental break from the seriousness of the sermon, while still getting the point across in a powerful way. </w:t>
      </w:r>
    </w:p>
    <w:p w:rsidR="007E26B2" w:rsidRDefault="00440DFF" w:rsidP="00440DFF">
      <w:pPr>
        <w:spacing w:after="0" w:line="480" w:lineRule="auto"/>
        <w:ind w:firstLine="720"/>
      </w:pPr>
      <w:r>
        <w:t xml:space="preserve">Overall, </w:t>
      </w:r>
      <w:r w:rsidR="00E7315D">
        <w:t>Broadus’ illustration</w:t>
      </w:r>
      <w:r w:rsidR="00555A3A">
        <w:t>s</w:t>
      </w:r>
      <w:r w:rsidR="00E7315D">
        <w:t xml:space="preserve"> were</w:t>
      </w:r>
      <w:r>
        <w:t xml:space="preserve"> in accordance with his textbook. They were not elaborate or </w:t>
      </w:r>
      <w:r w:rsidR="00E7315D">
        <w:t>len</w:t>
      </w:r>
      <w:r w:rsidR="007D2576">
        <w:t>gthy</w:t>
      </w:r>
      <w:r>
        <w:t xml:space="preserve">. They were </w:t>
      </w:r>
      <w:r w:rsidR="00E7315D">
        <w:t>closely connecte</w:t>
      </w:r>
      <w:r w:rsidR="00555A3A">
        <w:t>d to the main thrust</w:t>
      </w:r>
      <w:r w:rsidR="00E7315D">
        <w:t xml:space="preserve"> </w:t>
      </w:r>
      <w:r w:rsidR="00555A3A">
        <w:t xml:space="preserve">of the text while providing </w:t>
      </w:r>
      <w:r w:rsidR="00555A3A">
        <w:lastRenderedPageBreak/>
        <w:t>the listener a mental hook to remember</w:t>
      </w:r>
      <w:r w:rsidR="00C5671D">
        <w:t xml:space="preserve"> </w:t>
      </w:r>
      <w:r w:rsidR="00555A3A">
        <w:t>the</w:t>
      </w:r>
      <w:r w:rsidR="00C5671D">
        <w:t xml:space="preserve"> main</w:t>
      </w:r>
      <w:r w:rsidR="00555A3A">
        <w:t xml:space="preserve"> point.</w:t>
      </w:r>
      <w:r w:rsidR="007D2576">
        <w:t xml:space="preserve"> He used a variety of sources, and they </w:t>
      </w:r>
      <w:r w:rsidR="000F7AE4">
        <w:t>did not over</w:t>
      </w:r>
      <w:r w:rsidR="007D2576">
        <w:t xml:space="preserve">power the message of the text.  </w:t>
      </w:r>
    </w:p>
    <w:p w:rsidR="00E84537" w:rsidRDefault="007E26B2" w:rsidP="00440DFF">
      <w:pPr>
        <w:spacing w:after="0" w:line="480" w:lineRule="auto"/>
        <w:ind w:firstLine="720"/>
      </w:pPr>
      <w:r>
        <w:t>For Broadus</w:t>
      </w:r>
      <w:r w:rsidR="00E84537">
        <w:t>, the application in a sermon is paramount. He writes:</w:t>
      </w:r>
    </w:p>
    <w:p w:rsidR="00E84537" w:rsidRDefault="00E84537" w:rsidP="00E84537">
      <w:pPr>
        <w:spacing w:after="0" w:line="240" w:lineRule="auto"/>
        <w:ind w:left="720"/>
      </w:pPr>
      <w:r>
        <w:t>The application in a sermon is not merely an appendage to the discussion or a subordinate part of it, but is the main thing to be done. Spurgeon says, “Where the application begins, there the sermon begins.” We are not to speak before the people but to them and must earnestly strive to make them take to themselves what we say. Daniel Webster once said and repeated it with emphasis, “When a man preaches to me, I want him to make it a personal matter, a personal matter, a personal matter!</w:t>
      </w:r>
      <w:r>
        <w:rPr>
          <w:rStyle w:val="FootnoteReference"/>
        </w:rPr>
        <w:footnoteReference w:id="83"/>
      </w:r>
      <w:r>
        <w:t xml:space="preserve">  </w:t>
      </w:r>
      <w:r w:rsidR="007D2576">
        <w:t xml:space="preserve"> </w:t>
      </w:r>
      <w:r w:rsidR="00555A3A">
        <w:t xml:space="preserve"> </w:t>
      </w:r>
    </w:p>
    <w:p w:rsidR="00E84537" w:rsidRDefault="00E84537" w:rsidP="00E84537">
      <w:pPr>
        <w:spacing w:after="0" w:line="240" w:lineRule="auto"/>
      </w:pPr>
    </w:p>
    <w:p w:rsidR="00AF5EC7" w:rsidRDefault="002C2450" w:rsidP="00E84537">
      <w:pPr>
        <w:spacing w:after="0" w:line="480" w:lineRule="auto"/>
      </w:pPr>
      <w:r>
        <w:t xml:space="preserve"> </w:t>
      </w:r>
      <w:r w:rsidR="00E84537">
        <w:t>In Broadus’ sermon</w:t>
      </w:r>
      <w:r w:rsidR="00FC6F7A">
        <w:t xml:space="preserve"> on the Lord’s Prayer, his application is not easily identifiable, but it is in the sermon. For example, in the second main division, sub-point two, Broadus addresses the phrase, “And forgive us our debts, as we forgive our debtors.”</w:t>
      </w:r>
      <w:r>
        <w:t xml:space="preserve"> He spends two extensive paragraphs </w:t>
      </w:r>
      <w:r w:rsidR="00FC6F7A">
        <w:t>explaining the text. Within the second paragraph, Broadus asks, “My friends, does it ever occur to you that you are more anxious about the “give” than the “forgive?”</w:t>
      </w:r>
      <w:r w:rsidR="00CF75CF">
        <w:rPr>
          <w:rStyle w:val="FootnoteReference"/>
        </w:rPr>
        <w:footnoteReference w:id="84"/>
      </w:r>
      <w:r>
        <w:t xml:space="preserve"> This sentence begins the application portion of that sub-point. Broadus continues with a new paragraph</w:t>
      </w:r>
      <w:r w:rsidR="00C333B5">
        <w:t xml:space="preserve"> on the same sub-point</w:t>
      </w:r>
      <w:r>
        <w:t xml:space="preserve"> where</w:t>
      </w:r>
      <w:r w:rsidR="00907908">
        <w:t xml:space="preserve"> he</w:t>
      </w:r>
      <w:r>
        <w:t xml:space="preserve"> implores the listeners</w:t>
      </w:r>
      <w:r w:rsidR="00907908">
        <w:t xml:space="preserve"> to do what the text commands. He writes, “I must beg you in connection with the prayer to dwell upon the condition which our Lord here presents. It is a matter of the utmost practical importance to all of us.”</w:t>
      </w:r>
      <w:r w:rsidR="00907908">
        <w:rPr>
          <w:rStyle w:val="FootnoteReference"/>
        </w:rPr>
        <w:footnoteReference w:id="85"/>
      </w:r>
      <w:r w:rsidR="00AF5EC7">
        <w:t xml:space="preserve"> </w:t>
      </w:r>
    </w:p>
    <w:p w:rsidR="00CC0D8C" w:rsidRDefault="00AF5EC7" w:rsidP="00E84537">
      <w:pPr>
        <w:spacing w:after="0" w:line="480" w:lineRule="auto"/>
      </w:pPr>
      <w:r>
        <w:tab/>
        <w:t xml:space="preserve">There are some preachers that recommend leaving the application until the end of the sermon. Broadus; however, in his sermon, scatters the application throughout each point. The advantage of such method is the point is immediately applicable and the listener does not have to </w:t>
      </w:r>
      <w:r>
        <w:lastRenderedPageBreak/>
        <w:t xml:space="preserve">wait until the end of the sermon. Overall, Broadus’ sermon, specifically, his points of application </w:t>
      </w:r>
      <w:r w:rsidR="00412163">
        <w:t>are in harmony with his text</w:t>
      </w:r>
      <w:r>
        <w:t>book.</w:t>
      </w:r>
    </w:p>
    <w:p w:rsidR="00FA43B4" w:rsidRDefault="00CC0D8C" w:rsidP="00E84537">
      <w:pPr>
        <w:spacing w:after="0" w:line="480" w:lineRule="auto"/>
      </w:pPr>
      <w:r>
        <w:tab/>
      </w:r>
      <w:r w:rsidR="0095655E">
        <w:t xml:space="preserve">If there is one place Broadus is weak at following his own advice is in the conclusion of his sermon. </w:t>
      </w:r>
      <w:r w:rsidR="0095655E">
        <w:t>In his textbook he writes, “Preachers seldom neglect to prepare some introduction to a sermon but very often neglect the conclusion; and yet the latter is even more important than the former.”</w:t>
      </w:r>
      <w:r w:rsidR="0095655E">
        <w:rPr>
          <w:rStyle w:val="FootnoteReference"/>
        </w:rPr>
        <w:footnoteReference w:id="86"/>
      </w:r>
      <w:r w:rsidR="0095655E">
        <w:t xml:space="preserve"> </w:t>
      </w:r>
      <w:r w:rsidR="00412163">
        <w:t xml:space="preserve">With this in mind, Broadus conclusion for “The Lord’s Prayer” is, for the most part, </w:t>
      </w:r>
      <w:r w:rsidR="0095655E">
        <w:t>“My brethren this simple prayer ought as a model to control all our praying. Its spirit ought to strike into our blood, shaping our whole character, regulating our whole life</w:t>
      </w:r>
      <w:r w:rsidR="00412163">
        <w:t>. And as we pray it, oh, ought not our life’s endeavor to accord with it?</w:t>
      </w:r>
      <w:r w:rsidR="0095655E">
        <w:t>”</w:t>
      </w:r>
      <w:r w:rsidR="00412163">
        <w:rPr>
          <w:rStyle w:val="FootnoteReference"/>
        </w:rPr>
        <w:footnoteReference w:id="87"/>
      </w:r>
      <w:r w:rsidR="00E5551E">
        <w:t xml:space="preserve"> Although Broadus words are helpful, it seems like the conclusion was rushed or shorten extensively. This student was expecting </w:t>
      </w:r>
      <w:r w:rsidR="00FA43B4">
        <w:t>something more from Broadus, but was left feeling the sermon conclusion was average at best.</w:t>
      </w:r>
    </w:p>
    <w:p w:rsidR="00904772" w:rsidRDefault="00FA43B4" w:rsidP="00E84537">
      <w:pPr>
        <w:spacing w:after="0" w:line="480" w:lineRule="auto"/>
      </w:pPr>
      <w:r>
        <w:tab/>
        <w:t>Overall, Broadus’ sermon was true to his teaching in his textbook. His sermons are a great reflection of what he taught as a homiletics professor. All students of preaching would do well to read both. They would not be disappointed.</w:t>
      </w:r>
      <w:r w:rsidR="00FC6F7A">
        <w:t xml:space="preserve"> </w:t>
      </w:r>
    </w:p>
    <w:p w:rsidR="00870E08" w:rsidRPr="00B20E1F" w:rsidRDefault="00FA43B4" w:rsidP="00555A3A">
      <w:pPr>
        <w:spacing w:after="0" w:line="480" w:lineRule="auto"/>
        <w:jc w:val="center"/>
      </w:pPr>
      <w:r>
        <w:rPr>
          <w:b/>
        </w:rPr>
        <w:t>Concluding Thoughts</w:t>
      </w:r>
    </w:p>
    <w:p w:rsidR="00870E08" w:rsidRDefault="00870E08" w:rsidP="00593F6A">
      <w:pPr>
        <w:spacing w:after="0" w:line="480" w:lineRule="auto"/>
      </w:pPr>
      <w:r>
        <w:tab/>
        <w:t xml:space="preserve">There has been and will continue to be many pastors who strive to pattern their pulpit ministry after Broadus, and others dream about receiving equal fame that Broadus acquired. This student; however, hopes someday to attain the balance that Broadus displayed. He was a great scholar, great preacher, and a great man of God. </w:t>
      </w:r>
      <w:r w:rsidR="00422CBA">
        <w:t>His treatise on preaching is still relevant today and serves as a reminder that God places exceptional believers on this ea</w:t>
      </w:r>
      <w:r w:rsidR="00BE1E0C">
        <w:t xml:space="preserve">rth to inspire the </w:t>
      </w:r>
      <w:r w:rsidR="00BE1E0C">
        <w:lastRenderedPageBreak/>
        <w:t xml:space="preserve">average Christians to become more like Christ. </w:t>
      </w:r>
      <w:r>
        <w:t>At his death in March of 1895, Dr. B. H. Carroll had this to say about Broadus:</w:t>
      </w:r>
    </w:p>
    <w:p w:rsidR="00C16E04" w:rsidRDefault="00870E08" w:rsidP="00C16E04">
      <w:pPr>
        <w:spacing w:after="0" w:line="240" w:lineRule="auto"/>
        <w:ind w:left="720"/>
      </w:pPr>
      <w:r>
        <w:t xml:space="preserve">For the last ten years Doctor Broadus has exercised greater influence over my own life than all other men put together. My first introduction to him </w:t>
      </w:r>
      <w:r w:rsidR="00C16E04">
        <w:t xml:space="preserve">made an epoch in my ministerial life. It was at a meeting of the Southern Baptist Convention, in Jefferson, Texas, in 1874. In one respect that Convention was a disillusion to me; the great men of whom I had read falling so short of my expectations when I met and heard them. Only one man came up to and surpassed my expectations. That man was Doctor Broadus… The wisdom of Doctor Broadus was the balance to his scholarship, and his </w:t>
      </w:r>
      <w:proofErr w:type="spellStart"/>
      <w:r w:rsidR="00C16E04">
        <w:t>Christlike</w:t>
      </w:r>
      <w:proofErr w:type="spellEnd"/>
      <w:r w:rsidR="00C16E04">
        <w:t xml:space="preserve"> character sanctified his wisdom. In what other great and wise man’s character were these elements so </w:t>
      </w:r>
      <w:proofErr w:type="spellStart"/>
      <w:r w:rsidR="00C16E04">
        <w:t>mainifest</w:t>
      </w:r>
      <w:proofErr w:type="spellEnd"/>
      <w:r w:rsidR="00C16E04">
        <w:t>: simplicity, humility, piety, purity, and integrity…</w:t>
      </w:r>
      <w:r w:rsidR="00C16E04">
        <w:rPr>
          <w:rStyle w:val="FootnoteReference"/>
        </w:rPr>
        <w:footnoteReference w:id="88"/>
      </w:r>
    </w:p>
    <w:p w:rsidR="00C16E04" w:rsidRDefault="00C16E04" w:rsidP="00C16E04">
      <w:pPr>
        <w:spacing w:after="0" w:line="240" w:lineRule="auto"/>
      </w:pPr>
    </w:p>
    <w:p w:rsidR="00C16E04" w:rsidRDefault="00C16E04" w:rsidP="00C16E04">
      <w:pPr>
        <w:spacing w:after="0" w:line="480" w:lineRule="auto"/>
      </w:pPr>
      <w:r>
        <w:t>Even after death, Broadus did and still does remain as</w:t>
      </w:r>
      <w:r w:rsidR="00BE1E0C">
        <w:t xml:space="preserve"> one</w:t>
      </w:r>
      <w:r>
        <w:t xml:space="preserve"> of the greatest Southern Baptists to ever have lived.</w:t>
      </w:r>
    </w:p>
    <w:p w:rsidR="00870E08" w:rsidRDefault="00C16E04" w:rsidP="00593F6A">
      <w:pPr>
        <w:spacing w:after="0" w:line="480" w:lineRule="auto"/>
      </w:pPr>
      <w:r>
        <w:t xml:space="preserve">  </w:t>
      </w:r>
      <w:r w:rsidR="00870E08">
        <w:t xml:space="preserve"> </w:t>
      </w:r>
    </w:p>
    <w:p w:rsidR="001B2CD1" w:rsidRDefault="001B2CD1" w:rsidP="00593F6A">
      <w:pPr>
        <w:spacing w:after="0" w:line="480" w:lineRule="auto"/>
      </w:pPr>
    </w:p>
    <w:p w:rsidR="00711872" w:rsidRDefault="00711872" w:rsidP="001B2CD1">
      <w:pPr>
        <w:spacing w:after="0" w:line="480" w:lineRule="auto"/>
        <w:jc w:val="center"/>
      </w:pPr>
    </w:p>
    <w:p w:rsidR="00C5671D" w:rsidRDefault="00C5671D" w:rsidP="00C5671D">
      <w:pPr>
        <w:spacing w:after="0" w:line="240" w:lineRule="auto"/>
      </w:pPr>
    </w:p>
    <w:p w:rsidR="00C5671D" w:rsidRDefault="00C5671D" w:rsidP="00C5671D">
      <w:pPr>
        <w:spacing w:after="0" w:line="240" w:lineRule="auto"/>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35032F" w:rsidRDefault="0035032F" w:rsidP="00C5671D">
      <w:pPr>
        <w:spacing w:after="0" w:line="240" w:lineRule="auto"/>
        <w:jc w:val="center"/>
      </w:pPr>
    </w:p>
    <w:p w:rsidR="00711872" w:rsidRDefault="00711872" w:rsidP="00C5671D">
      <w:pPr>
        <w:spacing w:after="0" w:line="240" w:lineRule="auto"/>
        <w:jc w:val="center"/>
      </w:pPr>
      <w:bookmarkStart w:id="0" w:name="_GoBack"/>
      <w:bookmarkEnd w:id="0"/>
      <w:r>
        <w:lastRenderedPageBreak/>
        <w:t>Bibliography</w:t>
      </w:r>
    </w:p>
    <w:p w:rsidR="00711872" w:rsidRDefault="00711872" w:rsidP="00711872">
      <w:pPr>
        <w:spacing w:after="0" w:line="240" w:lineRule="auto"/>
        <w:jc w:val="center"/>
      </w:pPr>
    </w:p>
    <w:p w:rsidR="00711872" w:rsidRDefault="00711872" w:rsidP="00711872">
      <w:pPr>
        <w:spacing w:after="0" w:line="240" w:lineRule="auto"/>
        <w:jc w:val="center"/>
      </w:pPr>
    </w:p>
    <w:p w:rsidR="00711872" w:rsidRDefault="00711872" w:rsidP="00711872">
      <w:pPr>
        <w:spacing w:after="0" w:line="240" w:lineRule="auto"/>
      </w:pPr>
      <w:r>
        <w:t xml:space="preserve">Akin, Daniel L., </w:t>
      </w:r>
      <w:r w:rsidR="00AE3F7C" w:rsidRPr="00AE3F7C">
        <w:t>Bill Curtis, and Stephen Rummage</w:t>
      </w:r>
      <w:r>
        <w:t xml:space="preserve">. </w:t>
      </w:r>
      <w:r w:rsidR="00AE3F7C" w:rsidRPr="00AE3F7C">
        <w:rPr>
          <w:i/>
        </w:rPr>
        <w:t>Engaging Exposition</w:t>
      </w:r>
      <w:r>
        <w:t xml:space="preserve">. </w:t>
      </w:r>
      <w:r w:rsidR="00AE3F7C" w:rsidRPr="00AE3F7C">
        <w:t>Nash</w:t>
      </w:r>
      <w:r>
        <w:t>ville: B &amp; H</w:t>
      </w:r>
    </w:p>
    <w:p w:rsidR="00AE3F7C" w:rsidRDefault="00711872" w:rsidP="00711872">
      <w:pPr>
        <w:spacing w:after="0" w:line="240" w:lineRule="auto"/>
        <w:ind w:firstLine="720"/>
      </w:pPr>
      <w:r>
        <w:t>Academic, 2011.</w:t>
      </w:r>
    </w:p>
    <w:p w:rsidR="00711872" w:rsidRDefault="00711872" w:rsidP="00711872">
      <w:pPr>
        <w:spacing w:after="0" w:line="240" w:lineRule="auto"/>
        <w:ind w:firstLine="720"/>
      </w:pPr>
    </w:p>
    <w:p w:rsidR="00711872" w:rsidRDefault="00711872" w:rsidP="00711872">
      <w:pPr>
        <w:spacing w:after="0" w:line="240" w:lineRule="auto"/>
      </w:pPr>
      <w:r>
        <w:t xml:space="preserve">Barron, James R. </w:t>
      </w:r>
      <w:r w:rsidR="00E66A62">
        <w:rPr>
          <w:i/>
        </w:rPr>
        <w:t>The Contributions of John A. Broadus to Southern Baptist</w:t>
      </w:r>
      <w:r>
        <w:t xml:space="preserve">. Diss. The </w:t>
      </w:r>
      <w:r w:rsidR="00E66A62">
        <w:t>Southern</w:t>
      </w:r>
    </w:p>
    <w:p w:rsidR="00E66A62" w:rsidRDefault="00E66A62" w:rsidP="00711872">
      <w:pPr>
        <w:spacing w:after="0" w:line="240" w:lineRule="auto"/>
        <w:ind w:firstLine="720"/>
      </w:pPr>
      <w:r>
        <w:t xml:space="preserve">Baptist </w:t>
      </w:r>
      <w:r w:rsidR="00711872">
        <w:t>Theological Seminary, May, 1972</w:t>
      </w:r>
      <w:r>
        <w:t>.</w:t>
      </w:r>
    </w:p>
    <w:p w:rsidR="00711872" w:rsidRDefault="00711872" w:rsidP="00711872">
      <w:pPr>
        <w:spacing w:after="0" w:line="240" w:lineRule="auto"/>
        <w:ind w:firstLine="720"/>
      </w:pPr>
    </w:p>
    <w:p w:rsidR="0019017E" w:rsidRDefault="00711872" w:rsidP="00711872">
      <w:pPr>
        <w:spacing w:after="0" w:line="240" w:lineRule="auto"/>
      </w:pPr>
      <w:r>
        <w:t xml:space="preserve">Broadus, John </w:t>
      </w:r>
      <w:r w:rsidR="00607432" w:rsidRPr="0019017E">
        <w:rPr>
          <w:i/>
        </w:rPr>
        <w:t>A Treatise on the Preparation and Delivery of Sermons.</w:t>
      </w:r>
      <w:r w:rsidR="00607432">
        <w:t xml:space="preserve"> Philadelphia: Smith,</w:t>
      </w:r>
    </w:p>
    <w:p w:rsidR="00607432" w:rsidRDefault="00607432" w:rsidP="0019017E">
      <w:pPr>
        <w:spacing w:after="0" w:line="240" w:lineRule="auto"/>
        <w:ind w:firstLine="720"/>
      </w:pPr>
      <w:r>
        <w:t>English; New York: Sheldon, 1870.</w:t>
      </w:r>
    </w:p>
    <w:p w:rsidR="0019017E" w:rsidRDefault="0019017E" w:rsidP="0019017E">
      <w:pPr>
        <w:spacing w:after="0" w:line="240" w:lineRule="auto"/>
        <w:ind w:firstLine="720"/>
      </w:pPr>
    </w:p>
    <w:p w:rsidR="0019017E" w:rsidRDefault="0019017E" w:rsidP="00711872">
      <w:pPr>
        <w:spacing w:after="0" w:line="240" w:lineRule="auto"/>
      </w:pPr>
      <w:r>
        <w:t xml:space="preserve"> _______</w:t>
      </w:r>
      <w:r w:rsidR="00607432">
        <w:t xml:space="preserve"> </w:t>
      </w:r>
      <w:r w:rsidR="00607432" w:rsidRPr="0019017E">
        <w:rPr>
          <w:i/>
        </w:rPr>
        <w:t>A Treatise on the Preparation and Delivery of Sermons</w:t>
      </w:r>
      <w:r w:rsidR="00607432">
        <w:t>. Edited by Edwin Charles</w:t>
      </w:r>
    </w:p>
    <w:p w:rsidR="00607432" w:rsidRDefault="00607432" w:rsidP="0019017E">
      <w:pPr>
        <w:spacing w:after="0" w:line="240" w:lineRule="auto"/>
        <w:ind w:firstLine="720"/>
      </w:pPr>
      <w:r>
        <w:t>Dargan. New York: Harper &amp; Bros., 1898.</w:t>
      </w:r>
    </w:p>
    <w:p w:rsidR="0019017E" w:rsidRDefault="0019017E" w:rsidP="00711872">
      <w:pPr>
        <w:spacing w:after="0" w:line="240" w:lineRule="auto"/>
      </w:pPr>
    </w:p>
    <w:p w:rsidR="0019017E" w:rsidRDefault="0019017E" w:rsidP="00711872">
      <w:pPr>
        <w:spacing w:after="0" w:line="240" w:lineRule="auto"/>
      </w:pPr>
      <w:r>
        <w:t xml:space="preserve"> _______</w:t>
      </w:r>
      <w:r w:rsidR="00607432" w:rsidRPr="0019017E">
        <w:rPr>
          <w:i/>
        </w:rPr>
        <w:t>A Treatise on the Preparation and Delivery of Sermons</w:t>
      </w:r>
      <w:r w:rsidR="00607432">
        <w:t>. Edited by Edwin Charles</w:t>
      </w:r>
    </w:p>
    <w:p w:rsidR="00607432" w:rsidRDefault="00607432" w:rsidP="0019017E">
      <w:pPr>
        <w:spacing w:after="0" w:line="240" w:lineRule="auto"/>
        <w:ind w:firstLine="720"/>
      </w:pPr>
      <w:r>
        <w:t>Dargan and C. S. Gardner. New York: George H. Doran, 1926</w:t>
      </w:r>
      <w:r w:rsidR="0019017E">
        <w:t>.</w:t>
      </w:r>
    </w:p>
    <w:p w:rsidR="0019017E" w:rsidRDefault="0019017E" w:rsidP="0019017E">
      <w:pPr>
        <w:spacing w:after="0" w:line="240" w:lineRule="auto"/>
        <w:ind w:firstLine="720"/>
      </w:pPr>
    </w:p>
    <w:p w:rsidR="0019017E" w:rsidRDefault="0019017E" w:rsidP="00711872">
      <w:pPr>
        <w:spacing w:after="0" w:line="240" w:lineRule="auto"/>
      </w:pPr>
      <w:r>
        <w:t xml:space="preserve">Dargan, Edwin C. </w:t>
      </w:r>
      <w:r w:rsidR="008170B2" w:rsidRPr="008170B2">
        <w:rPr>
          <w:i/>
        </w:rPr>
        <w:t>The Art of Preaching in the Light of Its History</w:t>
      </w:r>
      <w:r>
        <w:t xml:space="preserve">. </w:t>
      </w:r>
      <w:r w:rsidR="008170B2">
        <w:t>Nashville, S</w:t>
      </w:r>
      <w:r>
        <w:t>unday School</w:t>
      </w:r>
    </w:p>
    <w:p w:rsidR="008170B2" w:rsidRDefault="0019017E" w:rsidP="0019017E">
      <w:pPr>
        <w:spacing w:after="0" w:line="240" w:lineRule="auto"/>
        <w:ind w:firstLine="720"/>
      </w:pPr>
      <w:r>
        <w:t>Board, 1922</w:t>
      </w:r>
      <w:r w:rsidR="008170B2">
        <w:t>.</w:t>
      </w:r>
    </w:p>
    <w:p w:rsidR="002C60C1" w:rsidRDefault="002C60C1" w:rsidP="0019017E">
      <w:pPr>
        <w:spacing w:after="0" w:line="240" w:lineRule="auto"/>
        <w:ind w:firstLine="720"/>
      </w:pPr>
    </w:p>
    <w:p w:rsidR="002C60C1" w:rsidRDefault="002C60C1" w:rsidP="002C60C1">
      <w:pPr>
        <w:spacing w:after="0" w:line="240" w:lineRule="auto"/>
      </w:pPr>
      <w:r>
        <w:t>Dockery, David S. and Duke, Roger D. E</w:t>
      </w:r>
      <w:r w:rsidRPr="00774CB0">
        <w:t xml:space="preserve">ds. </w:t>
      </w:r>
      <w:r w:rsidRPr="00774CB0">
        <w:rPr>
          <w:i/>
        </w:rPr>
        <w:t>John A. Broadus: A Living Legacy</w:t>
      </w:r>
      <w:r>
        <w:t xml:space="preserve">. </w:t>
      </w:r>
      <w:r w:rsidRPr="00774CB0">
        <w:t>Nas</w:t>
      </w:r>
      <w:r>
        <w:t xml:space="preserve">hville: </w:t>
      </w:r>
    </w:p>
    <w:p w:rsidR="002C60C1" w:rsidRDefault="002C60C1" w:rsidP="002C60C1">
      <w:pPr>
        <w:spacing w:after="0" w:line="240" w:lineRule="auto"/>
        <w:ind w:firstLine="720"/>
      </w:pPr>
      <w:r>
        <w:t>B &amp; H Academic, 2008.</w:t>
      </w:r>
    </w:p>
    <w:p w:rsidR="0019017E" w:rsidRDefault="0019017E" w:rsidP="0019017E">
      <w:pPr>
        <w:spacing w:after="0" w:line="240" w:lineRule="auto"/>
        <w:ind w:firstLine="720"/>
      </w:pPr>
    </w:p>
    <w:p w:rsidR="0019017E" w:rsidRDefault="001B2CD1" w:rsidP="00711872">
      <w:pPr>
        <w:spacing w:after="0" w:line="240" w:lineRule="auto"/>
      </w:pPr>
      <w:proofErr w:type="spellStart"/>
      <w:r>
        <w:t>Fasol</w:t>
      </w:r>
      <w:proofErr w:type="spellEnd"/>
      <w:r>
        <w:t>,</w:t>
      </w:r>
      <w:r w:rsidR="0019017E">
        <w:t xml:space="preserve"> Al.</w:t>
      </w:r>
      <w:r>
        <w:t xml:space="preserve"> </w:t>
      </w:r>
      <w:r w:rsidRPr="0019017E">
        <w:rPr>
          <w:i/>
        </w:rPr>
        <w:t>With a Bible in Their Hands: Baptist Preaching in the South 1679-1979</w:t>
      </w:r>
      <w:r w:rsidR="0019017E">
        <w:t xml:space="preserve">. </w:t>
      </w:r>
      <w:r>
        <w:t>Nashville:</w:t>
      </w:r>
    </w:p>
    <w:p w:rsidR="001B2CD1" w:rsidRDefault="001B2CD1" w:rsidP="00711872">
      <w:pPr>
        <w:spacing w:after="0" w:line="240" w:lineRule="auto"/>
      </w:pPr>
      <w:r>
        <w:t xml:space="preserve"> </w:t>
      </w:r>
      <w:r w:rsidR="0019017E">
        <w:tab/>
      </w:r>
      <w:proofErr w:type="spellStart"/>
      <w:r>
        <w:t>Broadman</w:t>
      </w:r>
      <w:proofErr w:type="spellEnd"/>
      <w:r>
        <w:t>, 1994</w:t>
      </w:r>
      <w:r w:rsidR="0019017E">
        <w:t>.</w:t>
      </w:r>
    </w:p>
    <w:p w:rsidR="00530837" w:rsidRDefault="00530837" w:rsidP="00711872">
      <w:pPr>
        <w:spacing w:after="0" w:line="240" w:lineRule="auto"/>
      </w:pPr>
    </w:p>
    <w:p w:rsidR="00530837" w:rsidRDefault="00530837" w:rsidP="00711872">
      <w:pPr>
        <w:spacing w:after="0" w:line="240" w:lineRule="auto"/>
      </w:pPr>
      <w:r>
        <w:t xml:space="preserve">Robertson, Archibald T. </w:t>
      </w:r>
      <w:r w:rsidRPr="00B12550">
        <w:rPr>
          <w:i/>
        </w:rPr>
        <w:t>Life and Letters of John A. Broadus</w:t>
      </w:r>
      <w:r>
        <w:t xml:space="preserve">. </w:t>
      </w:r>
      <w:r w:rsidRPr="00B12550">
        <w:t>Philadelphia: Americ</w:t>
      </w:r>
      <w:r>
        <w:t>an Baptist</w:t>
      </w:r>
    </w:p>
    <w:p w:rsidR="00530837" w:rsidRDefault="00530837" w:rsidP="00530837">
      <w:pPr>
        <w:spacing w:after="0" w:line="240" w:lineRule="auto"/>
        <w:ind w:firstLine="720"/>
      </w:pPr>
      <w:r>
        <w:t>Publication, 1902</w:t>
      </w:r>
      <w:r w:rsidRPr="00B12550">
        <w:t>.</w:t>
      </w:r>
    </w:p>
    <w:p w:rsidR="00596586" w:rsidRDefault="00596586" w:rsidP="00596586">
      <w:pPr>
        <w:pStyle w:val="FootnoteText"/>
        <w:rPr>
          <w:sz w:val="24"/>
          <w:szCs w:val="24"/>
        </w:rPr>
      </w:pPr>
    </w:p>
    <w:p w:rsidR="00596586" w:rsidRDefault="00596586" w:rsidP="00596586">
      <w:pPr>
        <w:pStyle w:val="FootnoteText"/>
        <w:rPr>
          <w:i/>
          <w:sz w:val="24"/>
          <w:szCs w:val="24"/>
        </w:rPr>
      </w:pPr>
      <w:r>
        <w:rPr>
          <w:sz w:val="24"/>
          <w:szCs w:val="24"/>
        </w:rPr>
        <w:t xml:space="preserve">Smith, David A. </w:t>
      </w:r>
      <w:r w:rsidR="00650915" w:rsidRPr="00607432">
        <w:rPr>
          <w:i/>
          <w:sz w:val="24"/>
          <w:szCs w:val="24"/>
        </w:rPr>
        <w:t>Introductory Preaching Courses in Selected Southern Baptist Seminaries in</w:t>
      </w:r>
    </w:p>
    <w:p w:rsidR="00650915" w:rsidRDefault="00650915" w:rsidP="00596586">
      <w:pPr>
        <w:pStyle w:val="FootnoteText"/>
        <w:ind w:firstLine="720"/>
        <w:rPr>
          <w:sz w:val="24"/>
          <w:szCs w:val="24"/>
        </w:rPr>
      </w:pPr>
      <w:r w:rsidRPr="00607432">
        <w:rPr>
          <w:i/>
          <w:sz w:val="24"/>
          <w:szCs w:val="24"/>
        </w:rPr>
        <w:t>Light of John A. Broadus</w:t>
      </w:r>
      <w:r w:rsidR="00596586">
        <w:rPr>
          <w:sz w:val="24"/>
          <w:szCs w:val="24"/>
        </w:rPr>
        <w:t xml:space="preserve">. </w:t>
      </w:r>
      <w:r w:rsidRPr="00462C0A">
        <w:rPr>
          <w:sz w:val="24"/>
          <w:szCs w:val="24"/>
        </w:rPr>
        <w:t>Southwestern Baptist Theological Seminary, Diss., Feb 1</w:t>
      </w:r>
      <w:r w:rsidR="00596586">
        <w:rPr>
          <w:sz w:val="24"/>
          <w:szCs w:val="24"/>
        </w:rPr>
        <w:t>995.</w:t>
      </w:r>
    </w:p>
    <w:p w:rsidR="001E39BD" w:rsidRDefault="001E39BD" w:rsidP="00596586">
      <w:pPr>
        <w:pStyle w:val="FootnoteText"/>
        <w:ind w:firstLine="720"/>
        <w:rPr>
          <w:sz w:val="24"/>
          <w:szCs w:val="24"/>
        </w:rPr>
      </w:pPr>
    </w:p>
    <w:p w:rsidR="001E39BD" w:rsidRDefault="001E39BD" w:rsidP="001E39BD">
      <w:pPr>
        <w:pStyle w:val="FootnoteText"/>
        <w:rPr>
          <w:sz w:val="24"/>
          <w:szCs w:val="24"/>
        </w:rPr>
      </w:pPr>
      <w:r>
        <w:rPr>
          <w:sz w:val="24"/>
          <w:szCs w:val="24"/>
        </w:rPr>
        <w:t xml:space="preserve">Stanfield, </w:t>
      </w:r>
      <w:r w:rsidRPr="000414CF">
        <w:rPr>
          <w:sz w:val="24"/>
          <w:szCs w:val="24"/>
        </w:rPr>
        <w:t>Ver</w:t>
      </w:r>
      <w:r>
        <w:rPr>
          <w:sz w:val="24"/>
          <w:szCs w:val="24"/>
        </w:rPr>
        <w:t xml:space="preserve">non L. </w:t>
      </w:r>
      <w:r w:rsidRPr="000414CF">
        <w:rPr>
          <w:i/>
          <w:sz w:val="24"/>
          <w:szCs w:val="24"/>
        </w:rPr>
        <w:t>Favorite Sermons of John A. Broadus</w:t>
      </w:r>
      <w:r>
        <w:rPr>
          <w:sz w:val="24"/>
          <w:szCs w:val="24"/>
        </w:rPr>
        <w:t xml:space="preserve">. </w:t>
      </w:r>
      <w:r w:rsidRPr="000414CF">
        <w:rPr>
          <w:sz w:val="24"/>
          <w:szCs w:val="24"/>
        </w:rPr>
        <w:t>New York: Harper</w:t>
      </w:r>
      <w:r>
        <w:rPr>
          <w:sz w:val="24"/>
          <w:szCs w:val="24"/>
        </w:rPr>
        <w:t xml:space="preserve"> &amp; Brothers</w:t>
      </w:r>
    </w:p>
    <w:p w:rsidR="001E39BD" w:rsidRDefault="001E39BD" w:rsidP="001E39BD">
      <w:pPr>
        <w:pStyle w:val="FootnoteText"/>
        <w:ind w:firstLine="720"/>
        <w:rPr>
          <w:sz w:val="24"/>
          <w:szCs w:val="24"/>
        </w:rPr>
      </w:pPr>
      <w:r>
        <w:rPr>
          <w:sz w:val="24"/>
          <w:szCs w:val="24"/>
        </w:rPr>
        <w:t>Publishers. 1959.</w:t>
      </w:r>
    </w:p>
    <w:p w:rsidR="00650915" w:rsidRDefault="00650915" w:rsidP="00711872">
      <w:pPr>
        <w:spacing w:after="0" w:line="240" w:lineRule="auto"/>
      </w:pPr>
    </w:p>
    <w:p w:rsidR="0019017E" w:rsidRDefault="0019017E" w:rsidP="0019017E">
      <w:pPr>
        <w:pStyle w:val="FootnoteText"/>
        <w:rPr>
          <w:sz w:val="24"/>
          <w:szCs w:val="24"/>
        </w:rPr>
      </w:pPr>
      <w:r>
        <w:rPr>
          <w:sz w:val="24"/>
          <w:szCs w:val="24"/>
        </w:rPr>
        <w:t xml:space="preserve">Weatherspoon, Jesse B. </w:t>
      </w:r>
      <w:r w:rsidR="008170B2" w:rsidRPr="009D378E">
        <w:rPr>
          <w:i/>
          <w:sz w:val="24"/>
          <w:szCs w:val="24"/>
        </w:rPr>
        <w:t>On the Preparation and Delivery of Sermons, New and Revised</w:t>
      </w:r>
      <w:r>
        <w:rPr>
          <w:i/>
          <w:sz w:val="24"/>
          <w:szCs w:val="24"/>
        </w:rPr>
        <w:t xml:space="preserve">. </w:t>
      </w:r>
      <w:r w:rsidR="008170B2" w:rsidRPr="009D378E">
        <w:rPr>
          <w:sz w:val="24"/>
          <w:szCs w:val="24"/>
        </w:rPr>
        <w:t>New</w:t>
      </w:r>
    </w:p>
    <w:p w:rsidR="008170B2" w:rsidRDefault="008170B2" w:rsidP="0019017E">
      <w:pPr>
        <w:pStyle w:val="FootnoteText"/>
        <w:ind w:firstLine="720"/>
        <w:rPr>
          <w:sz w:val="24"/>
          <w:szCs w:val="24"/>
        </w:rPr>
      </w:pPr>
      <w:r w:rsidRPr="009D378E">
        <w:rPr>
          <w:sz w:val="24"/>
          <w:szCs w:val="24"/>
        </w:rPr>
        <w:t xml:space="preserve">York: Harper Brothers, </w:t>
      </w:r>
      <w:r w:rsidR="007663D4">
        <w:rPr>
          <w:sz w:val="24"/>
          <w:szCs w:val="24"/>
        </w:rPr>
        <w:t>1944</w:t>
      </w:r>
      <w:r w:rsidR="0019017E">
        <w:rPr>
          <w:sz w:val="24"/>
          <w:szCs w:val="24"/>
        </w:rPr>
        <w:t>.</w:t>
      </w:r>
    </w:p>
    <w:p w:rsidR="008170B2" w:rsidRDefault="008170B2" w:rsidP="00711872">
      <w:pPr>
        <w:spacing w:after="0" w:line="240" w:lineRule="auto"/>
      </w:pPr>
    </w:p>
    <w:sectPr w:rsidR="008170B2" w:rsidSect="008C2650">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96A" w:rsidRDefault="0095496A" w:rsidP="00593F6A">
      <w:pPr>
        <w:spacing w:after="0" w:line="240" w:lineRule="auto"/>
      </w:pPr>
      <w:r>
        <w:separator/>
      </w:r>
    </w:p>
  </w:endnote>
  <w:endnote w:type="continuationSeparator" w:id="0">
    <w:p w:rsidR="0095496A" w:rsidRDefault="0095496A" w:rsidP="00593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swiss"/>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DFF" w:rsidRDefault="00440DFF">
    <w:pPr>
      <w:pStyle w:val="Footer"/>
      <w:jc w:val="center"/>
    </w:pPr>
  </w:p>
  <w:p w:rsidR="00440DFF" w:rsidRDefault="00440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819484"/>
      <w:docPartObj>
        <w:docPartGallery w:val="Page Numbers (Bottom of Page)"/>
        <w:docPartUnique/>
      </w:docPartObj>
    </w:sdtPr>
    <w:sdtEndPr>
      <w:rPr>
        <w:noProof/>
      </w:rPr>
    </w:sdtEndPr>
    <w:sdtContent>
      <w:p w:rsidR="00440DFF" w:rsidRDefault="00440DFF">
        <w:pPr>
          <w:pStyle w:val="Footer"/>
          <w:jc w:val="center"/>
        </w:pPr>
        <w:r>
          <w:fldChar w:fldCharType="begin"/>
        </w:r>
        <w:r>
          <w:instrText xml:space="preserve"> PAGE   \* MERGEFORMAT </w:instrText>
        </w:r>
        <w:r>
          <w:fldChar w:fldCharType="separate"/>
        </w:r>
        <w:r w:rsidR="0035032F">
          <w:rPr>
            <w:noProof/>
          </w:rPr>
          <w:t>20</w:t>
        </w:r>
        <w:r>
          <w:rPr>
            <w:noProof/>
          </w:rPr>
          <w:fldChar w:fldCharType="end"/>
        </w:r>
      </w:p>
    </w:sdtContent>
  </w:sdt>
  <w:p w:rsidR="00440DFF" w:rsidRDefault="00440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96A" w:rsidRDefault="0095496A" w:rsidP="00593F6A">
      <w:pPr>
        <w:spacing w:after="0" w:line="240" w:lineRule="auto"/>
      </w:pPr>
      <w:r>
        <w:separator/>
      </w:r>
    </w:p>
  </w:footnote>
  <w:footnote w:type="continuationSeparator" w:id="0">
    <w:p w:rsidR="0095496A" w:rsidRDefault="0095496A" w:rsidP="00593F6A">
      <w:pPr>
        <w:spacing w:after="0" w:line="240" w:lineRule="auto"/>
      </w:pPr>
      <w:r>
        <w:continuationSeparator/>
      </w:r>
    </w:p>
  </w:footnote>
  <w:footnote w:id="1">
    <w:p w:rsidR="00440DFF" w:rsidRPr="00587C62" w:rsidRDefault="00440DFF" w:rsidP="00587C62">
      <w:pPr>
        <w:pStyle w:val="FootnoteText"/>
        <w:ind w:firstLine="720"/>
        <w:rPr>
          <w:sz w:val="24"/>
          <w:szCs w:val="24"/>
        </w:rPr>
      </w:pPr>
      <w:r w:rsidRPr="00587C62">
        <w:rPr>
          <w:rStyle w:val="FootnoteReference"/>
          <w:sz w:val="24"/>
          <w:szCs w:val="24"/>
        </w:rPr>
        <w:footnoteRef/>
      </w:r>
      <w:r w:rsidRPr="00587C62">
        <w:rPr>
          <w:sz w:val="24"/>
          <w:szCs w:val="24"/>
        </w:rPr>
        <w:t xml:space="preserve">Archibald T. Robertson, </w:t>
      </w:r>
      <w:r w:rsidRPr="00587C62">
        <w:rPr>
          <w:i/>
          <w:sz w:val="24"/>
          <w:szCs w:val="24"/>
        </w:rPr>
        <w:t>Life and Letters of John A. Broadus</w:t>
      </w:r>
      <w:r w:rsidRPr="00587C62">
        <w:rPr>
          <w:sz w:val="24"/>
          <w:szCs w:val="24"/>
        </w:rPr>
        <w:t xml:space="preserve"> (Philadelphia: American Baptist Publication, 1902</w:t>
      </w:r>
      <w:r>
        <w:rPr>
          <w:sz w:val="24"/>
          <w:szCs w:val="24"/>
        </w:rPr>
        <w:t>)</w:t>
      </w:r>
      <w:r w:rsidRPr="00587C62">
        <w:rPr>
          <w:sz w:val="24"/>
          <w:szCs w:val="24"/>
        </w:rPr>
        <w:t xml:space="preserve"> 17.</w:t>
      </w:r>
    </w:p>
  </w:footnote>
  <w:footnote w:id="2">
    <w:p w:rsidR="00440DFF" w:rsidRDefault="00440DFF" w:rsidP="00B12550">
      <w:pPr>
        <w:pStyle w:val="FootnoteText"/>
        <w:ind w:firstLine="720"/>
        <w:rPr>
          <w:sz w:val="24"/>
          <w:szCs w:val="24"/>
        </w:rPr>
      </w:pPr>
      <w:r w:rsidRPr="00B12550">
        <w:rPr>
          <w:rStyle w:val="FootnoteReference"/>
          <w:sz w:val="24"/>
          <w:szCs w:val="24"/>
        </w:rPr>
        <w:footnoteRef/>
      </w:r>
      <w:r w:rsidRPr="00B12550">
        <w:rPr>
          <w:sz w:val="24"/>
          <w:szCs w:val="24"/>
        </w:rPr>
        <w:t xml:space="preserve"> Archibald T. Robertson, </w:t>
      </w:r>
      <w:r w:rsidRPr="00B12550">
        <w:rPr>
          <w:i/>
          <w:sz w:val="24"/>
          <w:szCs w:val="24"/>
        </w:rPr>
        <w:t>Life and Letters of John A. Broadus</w:t>
      </w:r>
      <w:r>
        <w:rPr>
          <w:sz w:val="24"/>
          <w:szCs w:val="24"/>
        </w:rPr>
        <w:t xml:space="preserve">, </w:t>
      </w:r>
      <w:r w:rsidRPr="00B12550">
        <w:rPr>
          <w:sz w:val="24"/>
          <w:szCs w:val="24"/>
        </w:rPr>
        <w:t>33.</w:t>
      </w:r>
    </w:p>
    <w:p w:rsidR="00440DFF" w:rsidRPr="00B12550" w:rsidRDefault="00440DFF" w:rsidP="00B12550">
      <w:pPr>
        <w:pStyle w:val="FootnoteText"/>
        <w:ind w:firstLine="720"/>
        <w:rPr>
          <w:sz w:val="24"/>
          <w:szCs w:val="24"/>
        </w:rPr>
      </w:pPr>
    </w:p>
  </w:footnote>
  <w:footnote w:id="3">
    <w:p w:rsidR="00440DFF" w:rsidRDefault="00440DFF" w:rsidP="00793081">
      <w:pPr>
        <w:pStyle w:val="FootnoteText"/>
        <w:ind w:firstLine="720"/>
        <w:rPr>
          <w:sz w:val="24"/>
          <w:szCs w:val="24"/>
        </w:rPr>
      </w:pPr>
      <w:r w:rsidRPr="00793081">
        <w:rPr>
          <w:rStyle w:val="FootnoteReference"/>
          <w:sz w:val="24"/>
          <w:szCs w:val="24"/>
        </w:rPr>
        <w:footnoteRef/>
      </w:r>
      <w:r w:rsidRPr="00793081">
        <w:rPr>
          <w:sz w:val="24"/>
          <w:szCs w:val="24"/>
        </w:rPr>
        <w:t xml:space="preserve"> Ibid., 41-43.</w:t>
      </w:r>
    </w:p>
    <w:p w:rsidR="00440DFF" w:rsidRPr="00793081" w:rsidRDefault="00440DFF">
      <w:pPr>
        <w:pStyle w:val="FootnoteText"/>
        <w:rPr>
          <w:sz w:val="24"/>
          <w:szCs w:val="24"/>
        </w:rPr>
      </w:pPr>
    </w:p>
  </w:footnote>
  <w:footnote w:id="4">
    <w:p w:rsidR="00440DFF" w:rsidRDefault="00440DFF" w:rsidP="00EE387E">
      <w:pPr>
        <w:pStyle w:val="FootnoteText"/>
        <w:ind w:firstLine="720"/>
        <w:rPr>
          <w:sz w:val="24"/>
          <w:szCs w:val="24"/>
        </w:rPr>
      </w:pPr>
      <w:r w:rsidRPr="00EE387E">
        <w:rPr>
          <w:rStyle w:val="FootnoteReference"/>
          <w:sz w:val="24"/>
          <w:szCs w:val="24"/>
        </w:rPr>
        <w:footnoteRef/>
      </w:r>
      <w:r w:rsidRPr="00EE387E">
        <w:rPr>
          <w:sz w:val="24"/>
          <w:szCs w:val="24"/>
        </w:rPr>
        <w:t xml:space="preserve"> Ibid., 62.</w:t>
      </w:r>
    </w:p>
    <w:p w:rsidR="00440DFF" w:rsidRPr="00EE387E" w:rsidRDefault="00440DFF" w:rsidP="00EE387E">
      <w:pPr>
        <w:pStyle w:val="FootnoteText"/>
        <w:ind w:firstLine="720"/>
        <w:rPr>
          <w:sz w:val="24"/>
          <w:szCs w:val="24"/>
        </w:rPr>
      </w:pPr>
    </w:p>
  </w:footnote>
  <w:footnote w:id="5">
    <w:p w:rsidR="00440DFF" w:rsidRDefault="00440DFF" w:rsidP="00E130C6">
      <w:pPr>
        <w:pStyle w:val="FootnoteText"/>
        <w:ind w:firstLine="720"/>
        <w:rPr>
          <w:sz w:val="24"/>
          <w:szCs w:val="24"/>
        </w:rPr>
      </w:pPr>
      <w:r w:rsidRPr="00E130C6">
        <w:rPr>
          <w:rStyle w:val="FootnoteReference"/>
          <w:sz w:val="24"/>
          <w:szCs w:val="24"/>
        </w:rPr>
        <w:footnoteRef/>
      </w:r>
      <w:r w:rsidRPr="00E130C6">
        <w:rPr>
          <w:sz w:val="24"/>
          <w:szCs w:val="24"/>
        </w:rPr>
        <w:t xml:space="preserve"> Ibid., 64, 66.</w:t>
      </w:r>
    </w:p>
    <w:p w:rsidR="00440DFF" w:rsidRPr="00E130C6" w:rsidRDefault="00440DFF" w:rsidP="00E130C6">
      <w:pPr>
        <w:pStyle w:val="FootnoteText"/>
        <w:ind w:firstLine="720"/>
        <w:rPr>
          <w:sz w:val="24"/>
          <w:szCs w:val="24"/>
        </w:rPr>
      </w:pPr>
    </w:p>
  </w:footnote>
  <w:footnote w:id="6">
    <w:p w:rsidR="00440DFF" w:rsidRDefault="00440DFF" w:rsidP="00EE387E">
      <w:pPr>
        <w:pStyle w:val="FootnoteText"/>
        <w:ind w:firstLine="720"/>
        <w:rPr>
          <w:sz w:val="24"/>
          <w:szCs w:val="24"/>
        </w:rPr>
      </w:pPr>
      <w:r w:rsidRPr="00EE387E">
        <w:rPr>
          <w:rStyle w:val="FootnoteReference"/>
          <w:sz w:val="24"/>
          <w:szCs w:val="24"/>
        </w:rPr>
        <w:footnoteRef/>
      </w:r>
      <w:r w:rsidRPr="00EE387E">
        <w:rPr>
          <w:sz w:val="24"/>
          <w:szCs w:val="24"/>
        </w:rPr>
        <w:t xml:space="preserve"> Ibid.</w:t>
      </w:r>
    </w:p>
    <w:p w:rsidR="00440DFF" w:rsidRPr="00EE387E" w:rsidRDefault="00440DFF" w:rsidP="00EE387E">
      <w:pPr>
        <w:pStyle w:val="FootnoteText"/>
        <w:ind w:firstLine="720"/>
        <w:rPr>
          <w:sz w:val="24"/>
          <w:szCs w:val="24"/>
        </w:rPr>
      </w:pPr>
    </w:p>
  </w:footnote>
  <w:footnote w:id="7">
    <w:p w:rsidR="00440DFF" w:rsidRDefault="00440DFF" w:rsidP="00EE387E">
      <w:pPr>
        <w:pStyle w:val="FootnoteText"/>
        <w:ind w:firstLine="720"/>
        <w:rPr>
          <w:sz w:val="24"/>
          <w:szCs w:val="24"/>
        </w:rPr>
      </w:pPr>
      <w:r w:rsidRPr="00EE387E">
        <w:rPr>
          <w:rStyle w:val="FootnoteReference"/>
          <w:sz w:val="24"/>
          <w:szCs w:val="24"/>
        </w:rPr>
        <w:footnoteRef/>
      </w:r>
      <w:r w:rsidRPr="00EE387E">
        <w:rPr>
          <w:sz w:val="24"/>
          <w:szCs w:val="24"/>
        </w:rPr>
        <w:t xml:space="preserve"> Ibid., 65.</w:t>
      </w:r>
    </w:p>
    <w:p w:rsidR="00440DFF" w:rsidRPr="00881C19" w:rsidRDefault="00440DFF">
      <w:pPr>
        <w:pStyle w:val="FootnoteText"/>
        <w:rPr>
          <w:sz w:val="24"/>
          <w:szCs w:val="24"/>
        </w:rPr>
      </w:pPr>
    </w:p>
  </w:footnote>
  <w:footnote w:id="8">
    <w:p w:rsidR="00440DFF" w:rsidRDefault="00440DFF" w:rsidP="00881C19">
      <w:pPr>
        <w:pStyle w:val="FootnoteText"/>
        <w:ind w:firstLine="720"/>
        <w:rPr>
          <w:sz w:val="24"/>
          <w:szCs w:val="24"/>
        </w:rPr>
      </w:pPr>
      <w:r w:rsidRPr="00881C19">
        <w:rPr>
          <w:rStyle w:val="FootnoteReference"/>
          <w:sz w:val="24"/>
          <w:szCs w:val="24"/>
        </w:rPr>
        <w:footnoteRef/>
      </w:r>
      <w:r w:rsidRPr="00881C19">
        <w:rPr>
          <w:sz w:val="24"/>
          <w:szCs w:val="24"/>
        </w:rPr>
        <w:t xml:space="preserve"> Ibid., 71.</w:t>
      </w:r>
    </w:p>
    <w:p w:rsidR="00440DFF" w:rsidRDefault="00440DFF" w:rsidP="00881C19">
      <w:pPr>
        <w:pStyle w:val="FootnoteText"/>
        <w:ind w:firstLine="720"/>
      </w:pPr>
    </w:p>
  </w:footnote>
  <w:footnote w:id="9">
    <w:p w:rsidR="00440DFF" w:rsidRDefault="00440DFF" w:rsidP="000414CF">
      <w:pPr>
        <w:pStyle w:val="FootnoteText"/>
        <w:ind w:firstLine="720"/>
        <w:rPr>
          <w:sz w:val="24"/>
          <w:szCs w:val="24"/>
        </w:rPr>
      </w:pPr>
      <w:r w:rsidRPr="000414CF">
        <w:rPr>
          <w:rStyle w:val="FootnoteReference"/>
          <w:sz w:val="24"/>
          <w:szCs w:val="24"/>
        </w:rPr>
        <w:footnoteRef/>
      </w:r>
      <w:r w:rsidRPr="000414CF">
        <w:rPr>
          <w:sz w:val="24"/>
          <w:szCs w:val="24"/>
        </w:rPr>
        <w:t xml:space="preserve"> Vernon L. Stanfield, </w:t>
      </w:r>
      <w:r w:rsidRPr="000414CF">
        <w:rPr>
          <w:i/>
          <w:sz w:val="24"/>
          <w:szCs w:val="24"/>
        </w:rPr>
        <w:t>Favorite Sermons of John A. Broadus</w:t>
      </w:r>
      <w:r w:rsidRPr="000414CF">
        <w:rPr>
          <w:sz w:val="24"/>
          <w:szCs w:val="24"/>
        </w:rPr>
        <w:t xml:space="preserve"> (New York: Harper &amp; Brothers Publishers. 1959) 2.</w:t>
      </w:r>
    </w:p>
    <w:p w:rsidR="00440DFF" w:rsidRPr="000414CF" w:rsidRDefault="00440DFF">
      <w:pPr>
        <w:pStyle w:val="FootnoteText"/>
        <w:rPr>
          <w:sz w:val="24"/>
          <w:szCs w:val="24"/>
        </w:rPr>
      </w:pPr>
    </w:p>
  </w:footnote>
  <w:footnote w:id="10">
    <w:p w:rsidR="00440DFF" w:rsidRPr="00273FA0" w:rsidRDefault="00440DFF" w:rsidP="000414CF">
      <w:pPr>
        <w:pStyle w:val="FootnoteText"/>
        <w:ind w:firstLine="720"/>
        <w:rPr>
          <w:sz w:val="24"/>
          <w:szCs w:val="24"/>
        </w:rPr>
      </w:pPr>
      <w:r w:rsidRPr="000414CF">
        <w:rPr>
          <w:rStyle w:val="FootnoteReference"/>
          <w:sz w:val="24"/>
          <w:szCs w:val="24"/>
        </w:rPr>
        <w:footnoteRef/>
      </w:r>
      <w:r w:rsidRPr="00B12550">
        <w:rPr>
          <w:sz w:val="24"/>
          <w:szCs w:val="24"/>
        </w:rPr>
        <w:t xml:space="preserve">Archibald T. Robertson, </w:t>
      </w:r>
      <w:r w:rsidRPr="00B12550">
        <w:rPr>
          <w:i/>
          <w:sz w:val="24"/>
          <w:szCs w:val="24"/>
        </w:rPr>
        <w:t>Life and Letters of John A. Broadus</w:t>
      </w:r>
      <w:r>
        <w:rPr>
          <w:sz w:val="24"/>
          <w:szCs w:val="24"/>
        </w:rPr>
        <w:t>, 175.</w:t>
      </w:r>
    </w:p>
    <w:p w:rsidR="00440DFF" w:rsidRPr="000414CF" w:rsidRDefault="00440DFF">
      <w:pPr>
        <w:pStyle w:val="FootnoteText"/>
        <w:rPr>
          <w:sz w:val="24"/>
          <w:szCs w:val="24"/>
        </w:rPr>
      </w:pPr>
    </w:p>
  </w:footnote>
  <w:footnote w:id="11">
    <w:p w:rsidR="00440DFF" w:rsidRDefault="00440DFF" w:rsidP="00825486">
      <w:pPr>
        <w:pStyle w:val="FootnoteText"/>
        <w:ind w:firstLine="720"/>
        <w:rPr>
          <w:sz w:val="24"/>
          <w:szCs w:val="24"/>
        </w:rPr>
      </w:pPr>
      <w:r>
        <w:rPr>
          <w:rStyle w:val="FootnoteReference"/>
        </w:rPr>
        <w:footnoteRef/>
      </w:r>
      <w:r>
        <w:t xml:space="preserve"> </w:t>
      </w:r>
      <w:r w:rsidRPr="000414CF">
        <w:rPr>
          <w:sz w:val="24"/>
          <w:szCs w:val="24"/>
        </w:rPr>
        <w:t xml:space="preserve">Vernon L. Stanfield, </w:t>
      </w:r>
      <w:r w:rsidRPr="000414CF">
        <w:rPr>
          <w:i/>
          <w:sz w:val="24"/>
          <w:szCs w:val="24"/>
        </w:rPr>
        <w:t>Favorite Sermons of John A. Broadus</w:t>
      </w:r>
      <w:r>
        <w:rPr>
          <w:sz w:val="24"/>
          <w:szCs w:val="24"/>
        </w:rPr>
        <w:t>. 5.</w:t>
      </w:r>
    </w:p>
    <w:p w:rsidR="00440DFF" w:rsidRPr="00825486" w:rsidRDefault="00440DFF" w:rsidP="00825486">
      <w:pPr>
        <w:pStyle w:val="FootnoteText"/>
        <w:ind w:firstLine="720"/>
      </w:pPr>
    </w:p>
  </w:footnote>
  <w:footnote w:id="12">
    <w:p w:rsidR="00440DFF" w:rsidRDefault="00440DFF" w:rsidP="00825486">
      <w:pPr>
        <w:pStyle w:val="FootnoteText"/>
        <w:ind w:firstLine="720"/>
        <w:rPr>
          <w:sz w:val="24"/>
          <w:szCs w:val="24"/>
        </w:rPr>
      </w:pPr>
      <w:r w:rsidRPr="00825486">
        <w:rPr>
          <w:rStyle w:val="FootnoteReference"/>
          <w:sz w:val="24"/>
          <w:szCs w:val="24"/>
        </w:rPr>
        <w:footnoteRef/>
      </w:r>
      <w:r w:rsidRPr="00825486">
        <w:rPr>
          <w:sz w:val="24"/>
          <w:szCs w:val="24"/>
        </w:rPr>
        <w:t xml:space="preserve"> Ibid., 7.</w:t>
      </w:r>
    </w:p>
    <w:p w:rsidR="00440DFF" w:rsidRPr="00825486" w:rsidRDefault="00440DFF" w:rsidP="00825486">
      <w:pPr>
        <w:pStyle w:val="FootnoteText"/>
        <w:ind w:firstLine="720"/>
        <w:rPr>
          <w:sz w:val="24"/>
          <w:szCs w:val="24"/>
        </w:rPr>
      </w:pPr>
    </w:p>
  </w:footnote>
  <w:footnote w:id="13">
    <w:p w:rsidR="00440DFF" w:rsidRDefault="00440DFF" w:rsidP="00825486">
      <w:pPr>
        <w:pStyle w:val="FootnoteText"/>
        <w:ind w:firstLine="720"/>
        <w:rPr>
          <w:sz w:val="24"/>
          <w:szCs w:val="24"/>
        </w:rPr>
      </w:pPr>
      <w:r w:rsidRPr="00825486">
        <w:rPr>
          <w:rStyle w:val="FootnoteReference"/>
          <w:sz w:val="24"/>
          <w:szCs w:val="24"/>
        </w:rPr>
        <w:footnoteRef/>
      </w:r>
      <w:r w:rsidRPr="00825486">
        <w:rPr>
          <w:sz w:val="24"/>
          <w:szCs w:val="24"/>
        </w:rPr>
        <w:t xml:space="preserve"> Ibid., 9.</w:t>
      </w:r>
    </w:p>
    <w:p w:rsidR="00440DFF" w:rsidRPr="00825486" w:rsidRDefault="00440DFF">
      <w:pPr>
        <w:pStyle w:val="FootnoteText"/>
        <w:rPr>
          <w:sz w:val="24"/>
          <w:szCs w:val="24"/>
        </w:rPr>
      </w:pPr>
    </w:p>
  </w:footnote>
  <w:footnote w:id="14">
    <w:p w:rsidR="00440DFF" w:rsidRPr="0014691D" w:rsidRDefault="00440DFF" w:rsidP="0014691D">
      <w:pPr>
        <w:pStyle w:val="FootnoteText"/>
        <w:ind w:firstLine="720"/>
        <w:rPr>
          <w:sz w:val="24"/>
          <w:szCs w:val="24"/>
        </w:rPr>
      </w:pPr>
      <w:r w:rsidRPr="0014691D">
        <w:rPr>
          <w:rStyle w:val="FootnoteReference"/>
          <w:sz w:val="24"/>
          <w:szCs w:val="24"/>
        </w:rPr>
        <w:footnoteRef/>
      </w:r>
      <w:r w:rsidRPr="0014691D">
        <w:rPr>
          <w:sz w:val="24"/>
          <w:szCs w:val="24"/>
        </w:rPr>
        <w:t xml:space="preserve"> Ibid., 12.</w:t>
      </w:r>
    </w:p>
    <w:p w:rsidR="00440DFF" w:rsidRDefault="00440DFF">
      <w:pPr>
        <w:pStyle w:val="FootnoteText"/>
      </w:pPr>
    </w:p>
  </w:footnote>
  <w:footnote w:id="15">
    <w:p w:rsidR="00440DFF" w:rsidRDefault="00440DFF" w:rsidP="00FF008E">
      <w:pPr>
        <w:pStyle w:val="FootnoteText"/>
        <w:ind w:firstLine="720"/>
        <w:rPr>
          <w:sz w:val="24"/>
          <w:szCs w:val="24"/>
        </w:rPr>
      </w:pPr>
      <w:r w:rsidRPr="00FF008E">
        <w:rPr>
          <w:rStyle w:val="FootnoteReference"/>
          <w:sz w:val="24"/>
          <w:szCs w:val="24"/>
        </w:rPr>
        <w:footnoteRef/>
      </w:r>
      <w:r w:rsidRPr="00FF008E">
        <w:rPr>
          <w:sz w:val="24"/>
          <w:szCs w:val="24"/>
        </w:rPr>
        <w:t xml:space="preserve"> Ibid., 5-12.</w:t>
      </w:r>
    </w:p>
    <w:p w:rsidR="00440DFF" w:rsidRPr="00FF008E" w:rsidRDefault="00440DFF" w:rsidP="00FF008E">
      <w:pPr>
        <w:pStyle w:val="FootnoteText"/>
        <w:ind w:firstLine="720"/>
        <w:rPr>
          <w:sz w:val="24"/>
          <w:szCs w:val="24"/>
        </w:rPr>
      </w:pPr>
    </w:p>
  </w:footnote>
  <w:footnote w:id="16">
    <w:p w:rsidR="00440DFF" w:rsidRDefault="00440DFF" w:rsidP="00FF008E">
      <w:pPr>
        <w:pStyle w:val="FootnoteText"/>
        <w:ind w:firstLine="720"/>
      </w:pPr>
      <w:r>
        <w:rPr>
          <w:rStyle w:val="FootnoteReference"/>
        </w:rPr>
        <w:footnoteRef/>
      </w:r>
      <w:r w:rsidRPr="00B12550">
        <w:rPr>
          <w:sz w:val="24"/>
          <w:szCs w:val="24"/>
        </w:rPr>
        <w:t xml:space="preserve">Archibald T. Robertson, </w:t>
      </w:r>
      <w:r w:rsidRPr="00B12550">
        <w:rPr>
          <w:i/>
          <w:sz w:val="24"/>
          <w:szCs w:val="24"/>
        </w:rPr>
        <w:t>Life and Letters of John A. Broadus</w:t>
      </w:r>
      <w:r>
        <w:rPr>
          <w:sz w:val="24"/>
          <w:szCs w:val="24"/>
        </w:rPr>
        <w:t>, 158.</w:t>
      </w:r>
      <w:r>
        <w:t xml:space="preserve"> </w:t>
      </w:r>
    </w:p>
    <w:p w:rsidR="00440DFF" w:rsidRDefault="00440DFF" w:rsidP="00FF008E">
      <w:pPr>
        <w:pStyle w:val="FootnoteText"/>
        <w:ind w:firstLine="720"/>
      </w:pPr>
    </w:p>
  </w:footnote>
  <w:footnote w:id="17">
    <w:p w:rsidR="00440DFF" w:rsidRDefault="00440DFF" w:rsidP="00A96D1A">
      <w:pPr>
        <w:pStyle w:val="FootnoteText"/>
        <w:ind w:firstLine="720"/>
        <w:rPr>
          <w:sz w:val="24"/>
          <w:szCs w:val="24"/>
        </w:rPr>
      </w:pPr>
      <w:r>
        <w:rPr>
          <w:rStyle w:val="FootnoteReference"/>
        </w:rPr>
        <w:footnoteRef/>
      </w:r>
      <w:r w:rsidRPr="000414CF">
        <w:rPr>
          <w:sz w:val="24"/>
          <w:szCs w:val="24"/>
        </w:rPr>
        <w:t xml:space="preserve">Vernon L. Stanfield, </w:t>
      </w:r>
      <w:r w:rsidRPr="000414CF">
        <w:rPr>
          <w:i/>
          <w:sz w:val="24"/>
          <w:szCs w:val="24"/>
        </w:rPr>
        <w:t>Favorite Sermons of John A. Broadus</w:t>
      </w:r>
      <w:r>
        <w:rPr>
          <w:sz w:val="24"/>
          <w:szCs w:val="24"/>
        </w:rPr>
        <w:t>, 4.</w:t>
      </w:r>
    </w:p>
    <w:p w:rsidR="00440DFF" w:rsidRDefault="00440DFF" w:rsidP="00A96D1A">
      <w:pPr>
        <w:pStyle w:val="FootnoteText"/>
        <w:ind w:firstLine="720"/>
      </w:pPr>
      <w:r>
        <w:t xml:space="preserve"> </w:t>
      </w:r>
    </w:p>
  </w:footnote>
  <w:footnote w:id="18">
    <w:p w:rsidR="00440DFF" w:rsidRDefault="00440DFF" w:rsidP="00A266BC">
      <w:pPr>
        <w:pStyle w:val="FootnoteText"/>
        <w:ind w:firstLine="720"/>
      </w:pPr>
      <w:r w:rsidRPr="009D378E">
        <w:rPr>
          <w:rStyle w:val="FootnoteReference"/>
          <w:sz w:val="24"/>
          <w:szCs w:val="24"/>
        </w:rPr>
        <w:footnoteRef/>
      </w:r>
      <w:r w:rsidRPr="009D378E">
        <w:rPr>
          <w:sz w:val="24"/>
          <w:szCs w:val="24"/>
        </w:rPr>
        <w:t xml:space="preserve"> W. H. Whitsitt, "Remarks Made at the Funeral," Seminary Magazine 8 (April 1895): 411.</w:t>
      </w:r>
    </w:p>
  </w:footnote>
  <w:footnote w:id="19">
    <w:p w:rsidR="00440DFF" w:rsidRDefault="00440DFF" w:rsidP="004A42D0">
      <w:pPr>
        <w:pStyle w:val="FootnoteText"/>
        <w:ind w:firstLine="720"/>
        <w:rPr>
          <w:sz w:val="24"/>
          <w:szCs w:val="24"/>
        </w:rPr>
      </w:pPr>
      <w:r w:rsidRPr="009D378E">
        <w:rPr>
          <w:rStyle w:val="FootnoteReference"/>
          <w:sz w:val="24"/>
          <w:szCs w:val="24"/>
        </w:rPr>
        <w:footnoteRef/>
      </w:r>
      <w:r w:rsidRPr="009D378E">
        <w:rPr>
          <w:sz w:val="24"/>
          <w:szCs w:val="24"/>
        </w:rPr>
        <w:t xml:space="preserve"> Al </w:t>
      </w:r>
      <w:proofErr w:type="spellStart"/>
      <w:r w:rsidRPr="009D378E">
        <w:rPr>
          <w:sz w:val="24"/>
          <w:szCs w:val="24"/>
        </w:rPr>
        <w:t>Fasol</w:t>
      </w:r>
      <w:proofErr w:type="spellEnd"/>
      <w:r w:rsidRPr="009D378E">
        <w:rPr>
          <w:sz w:val="24"/>
          <w:szCs w:val="24"/>
        </w:rPr>
        <w:t xml:space="preserve">, With a Bible in Their Hands: Baptist Preaching in the South 1679-1979 (Nashville: </w:t>
      </w:r>
      <w:proofErr w:type="spellStart"/>
      <w:r w:rsidRPr="009D378E">
        <w:rPr>
          <w:sz w:val="24"/>
          <w:szCs w:val="24"/>
        </w:rPr>
        <w:t>Broadman</w:t>
      </w:r>
      <w:proofErr w:type="spellEnd"/>
      <w:r w:rsidRPr="009D378E">
        <w:rPr>
          <w:sz w:val="24"/>
          <w:szCs w:val="24"/>
        </w:rPr>
        <w:t>, 1994), 80.</w:t>
      </w:r>
    </w:p>
    <w:p w:rsidR="00440DFF" w:rsidRPr="009D378E" w:rsidRDefault="00440DFF" w:rsidP="004A42D0">
      <w:pPr>
        <w:pStyle w:val="FootnoteText"/>
        <w:ind w:firstLine="720"/>
        <w:rPr>
          <w:sz w:val="24"/>
          <w:szCs w:val="24"/>
        </w:rPr>
      </w:pPr>
    </w:p>
  </w:footnote>
  <w:footnote w:id="20">
    <w:p w:rsidR="00440DFF" w:rsidRDefault="00440DFF" w:rsidP="00774CB0">
      <w:pPr>
        <w:pStyle w:val="FootnoteText"/>
        <w:ind w:firstLine="720"/>
        <w:rPr>
          <w:sz w:val="24"/>
          <w:szCs w:val="24"/>
        </w:rPr>
      </w:pPr>
      <w:r w:rsidRPr="00774CB0">
        <w:rPr>
          <w:rStyle w:val="FootnoteReference"/>
          <w:sz w:val="24"/>
          <w:szCs w:val="24"/>
        </w:rPr>
        <w:footnoteRef/>
      </w:r>
      <w:r w:rsidRPr="00774CB0">
        <w:rPr>
          <w:sz w:val="24"/>
          <w:szCs w:val="24"/>
        </w:rPr>
        <w:t xml:space="preserve"> David S. Dockery and Roger D. Duke, eds. </w:t>
      </w:r>
      <w:r w:rsidRPr="00774CB0">
        <w:rPr>
          <w:i/>
          <w:sz w:val="24"/>
          <w:szCs w:val="24"/>
        </w:rPr>
        <w:t>John A. Broadus: A Living Legacy</w:t>
      </w:r>
      <w:r w:rsidRPr="00774CB0">
        <w:rPr>
          <w:sz w:val="24"/>
          <w:szCs w:val="24"/>
        </w:rPr>
        <w:t xml:space="preserve"> (Nashville: B &amp; H Academic, 2008) 1.</w:t>
      </w:r>
    </w:p>
    <w:p w:rsidR="00440DFF" w:rsidRPr="00774CB0" w:rsidRDefault="00440DFF" w:rsidP="00774CB0">
      <w:pPr>
        <w:pStyle w:val="FootnoteText"/>
        <w:ind w:firstLine="720"/>
        <w:rPr>
          <w:sz w:val="24"/>
          <w:szCs w:val="24"/>
        </w:rPr>
      </w:pPr>
    </w:p>
  </w:footnote>
  <w:footnote w:id="21">
    <w:p w:rsidR="00440DFF" w:rsidRDefault="00440DFF" w:rsidP="009D378E">
      <w:pPr>
        <w:pStyle w:val="FootnoteText"/>
        <w:ind w:firstLine="720"/>
        <w:rPr>
          <w:sz w:val="24"/>
          <w:szCs w:val="24"/>
        </w:rPr>
      </w:pPr>
      <w:r w:rsidRPr="009D378E">
        <w:rPr>
          <w:rStyle w:val="FootnoteReference"/>
          <w:sz w:val="24"/>
          <w:szCs w:val="24"/>
        </w:rPr>
        <w:footnoteRef/>
      </w:r>
      <w:r w:rsidRPr="009D378E">
        <w:rPr>
          <w:sz w:val="24"/>
          <w:szCs w:val="24"/>
        </w:rPr>
        <w:t xml:space="preserve"> Jesse B. Weatherspoon, </w:t>
      </w:r>
      <w:r w:rsidRPr="009D378E">
        <w:rPr>
          <w:i/>
          <w:sz w:val="24"/>
          <w:szCs w:val="24"/>
        </w:rPr>
        <w:t>On the Preparation and Delivery of Sermons, New and Revised</w:t>
      </w:r>
      <w:r w:rsidRPr="009D378E">
        <w:rPr>
          <w:sz w:val="24"/>
          <w:szCs w:val="24"/>
        </w:rPr>
        <w:t xml:space="preserve"> (New York: Harper Brothers, </w:t>
      </w:r>
      <w:r>
        <w:rPr>
          <w:sz w:val="24"/>
          <w:szCs w:val="24"/>
        </w:rPr>
        <w:t xml:space="preserve">1944) </w:t>
      </w:r>
      <w:r w:rsidRPr="009D378E">
        <w:rPr>
          <w:sz w:val="24"/>
          <w:szCs w:val="24"/>
        </w:rPr>
        <w:t>v.</w:t>
      </w:r>
    </w:p>
    <w:p w:rsidR="00440DFF" w:rsidRPr="004A42D0" w:rsidRDefault="00440DFF" w:rsidP="009D378E">
      <w:pPr>
        <w:pStyle w:val="FootnoteText"/>
        <w:ind w:firstLine="720"/>
        <w:rPr>
          <w:sz w:val="24"/>
          <w:szCs w:val="24"/>
        </w:rPr>
      </w:pPr>
    </w:p>
  </w:footnote>
  <w:footnote w:id="22">
    <w:p w:rsidR="00440DFF" w:rsidRDefault="00440DFF" w:rsidP="004A42D0">
      <w:pPr>
        <w:pStyle w:val="FootnoteText"/>
        <w:ind w:firstLine="720"/>
        <w:rPr>
          <w:sz w:val="24"/>
          <w:szCs w:val="24"/>
        </w:rPr>
      </w:pPr>
      <w:r w:rsidRPr="004A42D0">
        <w:rPr>
          <w:rStyle w:val="FootnoteReference"/>
          <w:sz w:val="24"/>
          <w:szCs w:val="24"/>
        </w:rPr>
        <w:footnoteRef/>
      </w:r>
      <w:r w:rsidRPr="004A42D0">
        <w:rPr>
          <w:sz w:val="24"/>
          <w:szCs w:val="24"/>
        </w:rPr>
        <w:t xml:space="preserve"> Edwin Charles Dargan, </w:t>
      </w:r>
      <w:r w:rsidRPr="004A42D0">
        <w:rPr>
          <w:i/>
          <w:sz w:val="24"/>
          <w:szCs w:val="24"/>
        </w:rPr>
        <w:t>The Art of Preaching in the Light of Its History</w:t>
      </w:r>
      <w:r w:rsidRPr="004A42D0">
        <w:rPr>
          <w:sz w:val="24"/>
          <w:szCs w:val="24"/>
        </w:rPr>
        <w:t xml:space="preserve"> (Nashville, Sunday School Board, 1922) p. 231.</w:t>
      </w:r>
    </w:p>
    <w:p w:rsidR="00440DFF" w:rsidRPr="004A42D0" w:rsidRDefault="00440DFF" w:rsidP="004A42D0">
      <w:pPr>
        <w:pStyle w:val="FootnoteText"/>
        <w:ind w:firstLine="720"/>
        <w:rPr>
          <w:sz w:val="24"/>
          <w:szCs w:val="24"/>
        </w:rPr>
      </w:pPr>
    </w:p>
  </w:footnote>
  <w:footnote w:id="23">
    <w:p w:rsidR="00440DFF" w:rsidRDefault="00440DFF" w:rsidP="004A42D0">
      <w:pPr>
        <w:pStyle w:val="FootnoteText"/>
        <w:ind w:firstLine="720"/>
        <w:rPr>
          <w:sz w:val="24"/>
          <w:szCs w:val="24"/>
        </w:rPr>
      </w:pPr>
      <w:r w:rsidRPr="004A42D0">
        <w:rPr>
          <w:rStyle w:val="FootnoteReference"/>
          <w:sz w:val="24"/>
          <w:szCs w:val="24"/>
        </w:rPr>
        <w:footnoteRef/>
      </w:r>
      <w:r w:rsidRPr="004A42D0">
        <w:rPr>
          <w:sz w:val="24"/>
          <w:szCs w:val="24"/>
        </w:rPr>
        <w:t xml:space="preserve"> Ibid.</w:t>
      </w:r>
    </w:p>
    <w:p w:rsidR="00440DFF" w:rsidRPr="004A42D0" w:rsidRDefault="00440DFF" w:rsidP="004A42D0">
      <w:pPr>
        <w:pStyle w:val="FootnoteText"/>
        <w:ind w:firstLine="720"/>
        <w:rPr>
          <w:sz w:val="24"/>
          <w:szCs w:val="24"/>
        </w:rPr>
      </w:pPr>
    </w:p>
  </w:footnote>
  <w:footnote w:id="24">
    <w:p w:rsidR="00440DFF" w:rsidRDefault="00440DFF" w:rsidP="004A42D0">
      <w:pPr>
        <w:pStyle w:val="FootnoteText"/>
        <w:ind w:firstLine="720"/>
        <w:rPr>
          <w:sz w:val="24"/>
          <w:szCs w:val="24"/>
        </w:rPr>
      </w:pPr>
      <w:r w:rsidRPr="004A42D0">
        <w:rPr>
          <w:rStyle w:val="FootnoteReference"/>
          <w:sz w:val="24"/>
          <w:szCs w:val="24"/>
        </w:rPr>
        <w:footnoteRef/>
      </w:r>
      <w:r w:rsidRPr="004A42D0">
        <w:rPr>
          <w:sz w:val="24"/>
          <w:szCs w:val="24"/>
        </w:rPr>
        <w:t xml:space="preserve"> James R. Barron, </w:t>
      </w:r>
      <w:r w:rsidRPr="004A42D0">
        <w:rPr>
          <w:i/>
          <w:sz w:val="24"/>
          <w:szCs w:val="24"/>
        </w:rPr>
        <w:t>The Contributions of John A. Broadus to Southern Baptist</w:t>
      </w:r>
      <w:r w:rsidRPr="004A42D0">
        <w:rPr>
          <w:sz w:val="24"/>
          <w:szCs w:val="24"/>
        </w:rPr>
        <w:t xml:space="preserve">, </w:t>
      </w:r>
      <w:proofErr w:type="spellStart"/>
      <w:r w:rsidRPr="004A42D0">
        <w:rPr>
          <w:sz w:val="24"/>
          <w:szCs w:val="24"/>
        </w:rPr>
        <w:t>Diss</w:t>
      </w:r>
      <w:proofErr w:type="spellEnd"/>
      <w:r w:rsidRPr="004A42D0">
        <w:rPr>
          <w:sz w:val="24"/>
          <w:szCs w:val="24"/>
        </w:rPr>
        <w:t xml:space="preserve"> (Southern Baptist Theological Seminary, May, 1972). 155.</w:t>
      </w:r>
    </w:p>
    <w:p w:rsidR="00440DFF" w:rsidRPr="004A42D0" w:rsidRDefault="00440DFF" w:rsidP="004A42D0">
      <w:pPr>
        <w:pStyle w:val="FootnoteText"/>
        <w:ind w:firstLine="720"/>
        <w:rPr>
          <w:sz w:val="24"/>
          <w:szCs w:val="24"/>
        </w:rPr>
      </w:pPr>
    </w:p>
  </w:footnote>
  <w:footnote w:id="25">
    <w:p w:rsidR="00440DFF" w:rsidRDefault="00440DFF" w:rsidP="004A42D0">
      <w:pPr>
        <w:pStyle w:val="FootnoteText"/>
        <w:ind w:firstLine="720"/>
        <w:rPr>
          <w:sz w:val="24"/>
          <w:szCs w:val="24"/>
        </w:rPr>
      </w:pPr>
      <w:r w:rsidRPr="00ED525D">
        <w:rPr>
          <w:rStyle w:val="FootnoteReference"/>
          <w:sz w:val="24"/>
          <w:szCs w:val="24"/>
        </w:rPr>
        <w:footnoteRef/>
      </w:r>
      <w:r w:rsidRPr="00ED525D">
        <w:rPr>
          <w:sz w:val="24"/>
          <w:szCs w:val="24"/>
        </w:rPr>
        <w:t xml:space="preserve"> Ibid. (James R. Barron citing John R. </w:t>
      </w:r>
      <w:proofErr w:type="spellStart"/>
      <w:r w:rsidRPr="00ED525D">
        <w:rPr>
          <w:sz w:val="24"/>
          <w:szCs w:val="24"/>
        </w:rPr>
        <w:t>Sampey</w:t>
      </w:r>
      <w:proofErr w:type="spellEnd"/>
      <w:r w:rsidRPr="00ED525D">
        <w:rPr>
          <w:sz w:val="24"/>
          <w:szCs w:val="24"/>
        </w:rPr>
        <w:t xml:space="preserve">, "Some Contributions of the Seminary to Southern Baptists," in Pamphlets Published by J. R. </w:t>
      </w:r>
      <w:proofErr w:type="spellStart"/>
      <w:r w:rsidRPr="00ED525D">
        <w:rPr>
          <w:sz w:val="24"/>
          <w:szCs w:val="24"/>
        </w:rPr>
        <w:t>Sampey</w:t>
      </w:r>
      <w:proofErr w:type="spellEnd"/>
      <w:r w:rsidRPr="00ED525D">
        <w:rPr>
          <w:sz w:val="24"/>
          <w:szCs w:val="24"/>
        </w:rPr>
        <w:t xml:space="preserve">, p. 4; W. 0. Carver, "Recollections and information from Other Sources Concerning the Southern Baptist Theological Seminary" (unpublished typescript), p. 20; </w:t>
      </w:r>
      <w:proofErr w:type="spellStart"/>
      <w:r w:rsidRPr="00ED525D">
        <w:rPr>
          <w:sz w:val="24"/>
          <w:szCs w:val="24"/>
        </w:rPr>
        <w:t>McGlon</w:t>
      </w:r>
      <w:proofErr w:type="spellEnd"/>
      <w:r w:rsidRPr="00ED525D">
        <w:rPr>
          <w:sz w:val="24"/>
          <w:szCs w:val="24"/>
        </w:rPr>
        <w:t>, pp. 128-129).</w:t>
      </w:r>
    </w:p>
    <w:p w:rsidR="00440DFF" w:rsidRPr="00ED525D" w:rsidRDefault="00440DFF" w:rsidP="004A42D0">
      <w:pPr>
        <w:pStyle w:val="FootnoteText"/>
        <w:ind w:firstLine="720"/>
        <w:rPr>
          <w:sz w:val="24"/>
          <w:szCs w:val="24"/>
        </w:rPr>
      </w:pPr>
    </w:p>
  </w:footnote>
  <w:footnote w:id="26">
    <w:p w:rsidR="00440DFF" w:rsidRDefault="00440DFF" w:rsidP="00ED525D">
      <w:pPr>
        <w:pStyle w:val="FootnoteText"/>
        <w:ind w:firstLine="720"/>
        <w:rPr>
          <w:sz w:val="24"/>
          <w:szCs w:val="24"/>
        </w:rPr>
      </w:pPr>
      <w:r w:rsidRPr="00ED525D">
        <w:rPr>
          <w:rStyle w:val="FootnoteReference"/>
          <w:sz w:val="24"/>
          <w:szCs w:val="24"/>
        </w:rPr>
        <w:footnoteRef/>
      </w:r>
      <w:r w:rsidRPr="00ED525D">
        <w:rPr>
          <w:sz w:val="24"/>
          <w:szCs w:val="24"/>
        </w:rPr>
        <w:t xml:space="preserve">Dargan, </w:t>
      </w:r>
      <w:r w:rsidRPr="00ED525D">
        <w:rPr>
          <w:i/>
          <w:sz w:val="24"/>
          <w:szCs w:val="24"/>
        </w:rPr>
        <w:t>The Art of Preaching in the Light of Its History</w:t>
      </w:r>
      <w:r w:rsidRPr="00ED525D">
        <w:rPr>
          <w:sz w:val="24"/>
          <w:szCs w:val="24"/>
        </w:rPr>
        <w:t xml:space="preserve">, 231. </w:t>
      </w:r>
    </w:p>
    <w:p w:rsidR="00440DFF" w:rsidRPr="00ED525D" w:rsidRDefault="00440DFF">
      <w:pPr>
        <w:pStyle w:val="FootnoteText"/>
        <w:rPr>
          <w:sz w:val="24"/>
          <w:szCs w:val="24"/>
        </w:rPr>
      </w:pPr>
    </w:p>
  </w:footnote>
  <w:footnote w:id="27">
    <w:p w:rsidR="00440DFF" w:rsidRDefault="00440DFF" w:rsidP="00ED525D">
      <w:pPr>
        <w:pStyle w:val="FootnoteText"/>
        <w:ind w:firstLine="720"/>
        <w:rPr>
          <w:sz w:val="24"/>
          <w:szCs w:val="24"/>
        </w:rPr>
      </w:pPr>
      <w:r w:rsidRPr="00ED525D">
        <w:rPr>
          <w:rStyle w:val="FootnoteReference"/>
          <w:sz w:val="24"/>
          <w:szCs w:val="24"/>
        </w:rPr>
        <w:footnoteRef/>
      </w:r>
      <w:r w:rsidRPr="004A42D0">
        <w:rPr>
          <w:sz w:val="24"/>
          <w:szCs w:val="24"/>
        </w:rPr>
        <w:t xml:space="preserve">James R. Barron, </w:t>
      </w:r>
      <w:r w:rsidRPr="004A42D0">
        <w:rPr>
          <w:i/>
          <w:sz w:val="24"/>
          <w:szCs w:val="24"/>
        </w:rPr>
        <w:t>The Contributions of John A. Broadus to Southern Baptist</w:t>
      </w:r>
      <w:r w:rsidRPr="004A42D0">
        <w:rPr>
          <w:sz w:val="24"/>
          <w:szCs w:val="24"/>
        </w:rPr>
        <w:t>,</w:t>
      </w:r>
      <w:r>
        <w:rPr>
          <w:sz w:val="24"/>
          <w:szCs w:val="24"/>
        </w:rPr>
        <w:t xml:space="preserve"> 155.</w:t>
      </w:r>
    </w:p>
    <w:p w:rsidR="00440DFF" w:rsidRPr="00ED525D" w:rsidRDefault="00440DFF">
      <w:pPr>
        <w:pStyle w:val="FootnoteText"/>
        <w:rPr>
          <w:sz w:val="24"/>
          <w:szCs w:val="24"/>
        </w:rPr>
      </w:pPr>
    </w:p>
  </w:footnote>
  <w:footnote w:id="28">
    <w:p w:rsidR="00440DFF" w:rsidRPr="00C34AD2" w:rsidRDefault="00440DFF" w:rsidP="00C34AD2">
      <w:pPr>
        <w:pStyle w:val="FootnoteText"/>
        <w:ind w:firstLine="720"/>
      </w:pPr>
      <w:r>
        <w:rPr>
          <w:rStyle w:val="FootnoteReference"/>
        </w:rPr>
        <w:footnoteRef/>
      </w:r>
      <w:r>
        <w:t xml:space="preserve"> </w:t>
      </w:r>
      <w:r w:rsidRPr="009D378E">
        <w:rPr>
          <w:sz w:val="24"/>
          <w:szCs w:val="24"/>
        </w:rPr>
        <w:t xml:space="preserve">Weatherspoon, </w:t>
      </w:r>
      <w:r w:rsidRPr="009D378E">
        <w:rPr>
          <w:i/>
          <w:sz w:val="24"/>
          <w:szCs w:val="24"/>
        </w:rPr>
        <w:t>On the Preparation and Delivery of Sermons, New and Revised</w:t>
      </w:r>
      <w:r>
        <w:rPr>
          <w:sz w:val="24"/>
          <w:szCs w:val="24"/>
        </w:rPr>
        <w:t>, 3.</w:t>
      </w:r>
    </w:p>
  </w:footnote>
  <w:footnote w:id="29">
    <w:p w:rsidR="00440DFF" w:rsidRDefault="00440DFF">
      <w:pPr>
        <w:pStyle w:val="FootnoteText"/>
        <w:rPr>
          <w:sz w:val="24"/>
          <w:szCs w:val="24"/>
        </w:rPr>
      </w:pPr>
    </w:p>
    <w:p w:rsidR="00440DFF" w:rsidRDefault="00440DFF" w:rsidP="00975E9D">
      <w:pPr>
        <w:pStyle w:val="FootnoteText"/>
        <w:ind w:firstLine="720"/>
        <w:rPr>
          <w:sz w:val="24"/>
          <w:szCs w:val="24"/>
        </w:rPr>
      </w:pPr>
      <w:r w:rsidRPr="00975E9D">
        <w:rPr>
          <w:rStyle w:val="FootnoteReference"/>
          <w:sz w:val="24"/>
          <w:szCs w:val="24"/>
        </w:rPr>
        <w:footnoteRef/>
      </w:r>
      <w:r w:rsidRPr="00975E9D">
        <w:rPr>
          <w:sz w:val="24"/>
          <w:szCs w:val="24"/>
        </w:rPr>
        <w:t xml:space="preserve"> Ibid., 5 (quoting 2 Timothy 2:15</w:t>
      </w:r>
      <w:r>
        <w:rPr>
          <w:sz w:val="24"/>
          <w:szCs w:val="24"/>
        </w:rPr>
        <w:t>, KJV</w:t>
      </w:r>
      <w:r w:rsidRPr="00975E9D">
        <w:rPr>
          <w:sz w:val="24"/>
          <w:szCs w:val="24"/>
        </w:rPr>
        <w:t>).</w:t>
      </w:r>
    </w:p>
    <w:p w:rsidR="00440DFF" w:rsidRPr="00975E9D" w:rsidRDefault="00440DFF" w:rsidP="00975E9D">
      <w:pPr>
        <w:pStyle w:val="FootnoteText"/>
        <w:ind w:firstLine="720"/>
        <w:rPr>
          <w:sz w:val="24"/>
          <w:szCs w:val="24"/>
        </w:rPr>
      </w:pPr>
    </w:p>
  </w:footnote>
  <w:footnote w:id="30">
    <w:p w:rsidR="00440DFF" w:rsidRDefault="00440DFF" w:rsidP="00D66BFF">
      <w:pPr>
        <w:pStyle w:val="FootnoteText"/>
        <w:ind w:firstLine="720"/>
        <w:rPr>
          <w:sz w:val="24"/>
          <w:szCs w:val="24"/>
        </w:rPr>
      </w:pPr>
      <w:r w:rsidRPr="00462C0A">
        <w:rPr>
          <w:rStyle w:val="FootnoteReference"/>
          <w:sz w:val="24"/>
          <w:szCs w:val="24"/>
        </w:rPr>
        <w:footnoteRef/>
      </w:r>
      <w:r w:rsidRPr="00462C0A">
        <w:rPr>
          <w:sz w:val="24"/>
          <w:szCs w:val="24"/>
        </w:rPr>
        <w:t xml:space="preserve"> David A. Smith, </w:t>
      </w:r>
      <w:r w:rsidRPr="00607432">
        <w:rPr>
          <w:i/>
          <w:sz w:val="24"/>
          <w:szCs w:val="24"/>
        </w:rPr>
        <w:t>Introductory Preaching Courses in Selected Southern Baptist Seminaries in Light of John A. Broadus</w:t>
      </w:r>
      <w:r>
        <w:rPr>
          <w:sz w:val="24"/>
          <w:szCs w:val="24"/>
        </w:rPr>
        <w:t xml:space="preserve"> </w:t>
      </w:r>
      <w:r w:rsidRPr="00462C0A">
        <w:rPr>
          <w:sz w:val="24"/>
          <w:szCs w:val="24"/>
        </w:rPr>
        <w:t>(Southwestern Baptist Theological Seminary, Diss., Feb 1995) 6.</w:t>
      </w:r>
    </w:p>
    <w:p w:rsidR="00440DFF" w:rsidRDefault="00440DFF" w:rsidP="00D66BFF">
      <w:pPr>
        <w:pStyle w:val="FootnoteText"/>
        <w:ind w:firstLine="720"/>
      </w:pPr>
    </w:p>
  </w:footnote>
  <w:footnote w:id="31">
    <w:p w:rsidR="00440DFF" w:rsidRDefault="00440DFF" w:rsidP="005B0388">
      <w:pPr>
        <w:pStyle w:val="FootnoteText"/>
        <w:ind w:firstLine="720"/>
        <w:rPr>
          <w:sz w:val="24"/>
          <w:szCs w:val="24"/>
        </w:rPr>
      </w:pPr>
      <w:r w:rsidRPr="005B0388">
        <w:rPr>
          <w:rStyle w:val="FootnoteReference"/>
          <w:sz w:val="24"/>
          <w:szCs w:val="24"/>
        </w:rPr>
        <w:footnoteRef/>
      </w:r>
      <w:r w:rsidRPr="005B0388">
        <w:rPr>
          <w:sz w:val="24"/>
          <w:szCs w:val="24"/>
        </w:rPr>
        <w:t xml:space="preserve"> John A. Broadus, preface to A Treatise on the Preparation and Delivery of Sermons (Philadelphia: Smith, English &amp; Co., 1870), vi. See John A. Broadus, Lectures on the History of Preaching, new ed. (New York: A. C. Armstrong &amp; Son, 1899), 42-43.</w:t>
      </w:r>
      <w:r>
        <w:rPr>
          <w:sz w:val="24"/>
          <w:szCs w:val="24"/>
        </w:rPr>
        <w:t xml:space="preserve"> According to David Smith.</w:t>
      </w:r>
    </w:p>
    <w:p w:rsidR="00440DFF" w:rsidRPr="006C30D4" w:rsidRDefault="00440DFF" w:rsidP="005B0388">
      <w:pPr>
        <w:pStyle w:val="FootnoteText"/>
        <w:ind w:firstLine="720"/>
        <w:rPr>
          <w:sz w:val="24"/>
          <w:szCs w:val="24"/>
        </w:rPr>
      </w:pPr>
    </w:p>
  </w:footnote>
  <w:footnote w:id="32">
    <w:p w:rsidR="00440DFF" w:rsidRPr="006C30D4" w:rsidRDefault="00440DFF" w:rsidP="00607432">
      <w:pPr>
        <w:pStyle w:val="FootnoteText"/>
        <w:ind w:firstLine="720"/>
        <w:rPr>
          <w:i/>
          <w:sz w:val="24"/>
          <w:szCs w:val="24"/>
        </w:rPr>
      </w:pPr>
      <w:r w:rsidRPr="006C30D4">
        <w:rPr>
          <w:rStyle w:val="FootnoteReference"/>
          <w:sz w:val="24"/>
          <w:szCs w:val="24"/>
        </w:rPr>
        <w:footnoteRef/>
      </w:r>
      <w:r w:rsidRPr="006C30D4">
        <w:rPr>
          <w:sz w:val="24"/>
          <w:szCs w:val="24"/>
        </w:rPr>
        <w:t xml:space="preserve"> Smith, </w:t>
      </w:r>
      <w:r w:rsidRPr="006C30D4">
        <w:rPr>
          <w:i/>
          <w:sz w:val="24"/>
          <w:szCs w:val="24"/>
        </w:rPr>
        <w:t>Introductory Preaching Courses in Selec</w:t>
      </w:r>
      <w:r>
        <w:rPr>
          <w:i/>
          <w:sz w:val="24"/>
          <w:szCs w:val="24"/>
        </w:rPr>
        <w:t xml:space="preserve">ted Southern Baptist Seminaries </w:t>
      </w:r>
      <w:r w:rsidRPr="006C30D4">
        <w:rPr>
          <w:i/>
          <w:sz w:val="24"/>
          <w:szCs w:val="24"/>
        </w:rPr>
        <w:t>in Light of John A. Broadus, 6.</w:t>
      </w:r>
    </w:p>
    <w:p w:rsidR="00440DFF" w:rsidRPr="006C30D4" w:rsidRDefault="00440DFF" w:rsidP="00607432">
      <w:pPr>
        <w:pStyle w:val="FootnoteText"/>
        <w:ind w:firstLine="720"/>
        <w:rPr>
          <w:sz w:val="24"/>
          <w:szCs w:val="24"/>
        </w:rPr>
      </w:pPr>
    </w:p>
  </w:footnote>
  <w:footnote w:id="33">
    <w:p w:rsidR="00440DFF" w:rsidRDefault="00440DFF" w:rsidP="003729A4">
      <w:pPr>
        <w:pStyle w:val="FootnoteText"/>
        <w:ind w:firstLine="720"/>
      </w:pPr>
      <w:r w:rsidRPr="006C30D4">
        <w:rPr>
          <w:rStyle w:val="FootnoteReference"/>
          <w:sz w:val="24"/>
          <w:szCs w:val="24"/>
        </w:rPr>
        <w:footnoteRef/>
      </w:r>
      <w:r w:rsidRPr="006C30D4">
        <w:rPr>
          <w:sz w:val="24"/>
          <w:szCs w:val="24"/>
        </w:rPr>
        <w:t xml:space="preserve"> John A. Broadus, </w:t>
      </w:r>
      <w:r w:rsidRPr="006C30D4">
        <w:rPr>
          <w:i/>
          <w:sz w:val="24"/>
          <w:szCs w:val="24"/>
        </w:rPr>
        <w:t>A Treatise On the Preparation and Delivery of Sermons</w:t>
      </w:r>
      <w:r w:rsidRPr="006C30D4">
        <w:rPr>
          <w:sz w:val="24"/>
          <w:szCs w:val="24"/>
        </w:rPr>
        <w:t>, 2d ed., rev. Edwin Charles Dargan (New York: Harper and Brothers, 1898), 20.</w:t>
      </w:r>
      <w:r>
        <w:t xml:space="preserve"> </w:t>
      </w:r>
    </w:p>
    <w:p w:rsidR="00440DFF" w:rsidRDefault="00440DFF" w:rsidP="003729A4">
      <w:pPr>
        <w:pStyle w:val="FootnoteText"/>
        <w:ind w:firstLine="720"/>
      </w:pPr>
    </w:p>
  </w:footnote>
  <w:footnote w:id="34">
    <w:p w:rsidR="00440DFF" w:rsidRDefault="00440DFF" w:rsidP="006C30D4">
      <w:pPr>
        <w:pStyle w:val="FootnoteText"/>
        <w:ind w:firstLine="720"/>
      </w:pPr>
      <w:r>
        <w:rPr>
          <w:rStyle w:val="FootnoteReference"/>
        </w:rPr>
        <w:footnoteRef/>
      </w:r>
      <w:r w:rsidRPr="006C30D4">
        <w:rPr>
          <w:sz w:val="24"/>
          <w:szCs w:val="24"/>
        </w:rPr>
        <w:t xml:space="preserve">Smith, </w:t>
      </w:r>
      <w:r w:rsidRPr="006C30D4">
        <w:rPr>
          <w:i/>
          <w:sz w:val="24"/>
          <w:szCs w:val="24"/>
        </w:rPr>
        <w:t>Introductory Preaching Courses in Selec</w:t>
      </w:r>
      <w:r>
        <w:rPr>
          <w:i/>
          <w:sz w:val="24"/>
          <w:szCs w:val="24"/>
        </w:rPr>
        <w:t xml:space="preserve">ted Southern Baptist Seminaries </w:t>
      </w:r>
      <w:r w:rsidRPr="006C30D4">
        <w:rPr>
          <w:i/>
          <w:sz w:val="24"/>
          <w:szCs w:val="24"/>
        </w:rPr>
        <w:t>in Light of John A. Broadus, 6.</w:t>
      </w:r>
      <w:r>
        <w:t xml:space="preserve"> </w:t>
      </w:r>
    </w:p>
    <w:p w:rsidR="00440DFF" w:rsidRDefault="00440DFF" w:rsidP="006C30D4">
      <w:pPr>
        <w:pStyle w:val="FootnoteText"/>
        <w:ind w:firstLine="720"/>
      </w:pPr>
    </w:p>
  </w:footnote>
  <w:footnote w:id="35">
    <w:p w:rsidR="00440DFF" w:rsidRDefault="00440DFF" w:rsidP="00AE3F7C">
      <w:pPr>
        <w:pStyle w:val="FootnoteText"/>
        <w:ind w:firstLine="720"/>
        <w:rPr>
          <w:sz w:val="24"/>
          <w:szCs w:val="24"/>
        </w:rPr>
      </w:pPr>
      <w:r w:rsidRPr="00AE3F7C">
        <w:rPr>
          <w:rStyle w:val="FootnoteReference"/>
          <w:sz w:val="24"/>
          <w:szCs w:val="24"/>
        </w:rPr>
        <w:footnoteRef/>
      </w:r>
      <w:r w:rsidRPr="00AE3F7C">
        <w:rPr>
          <w:sz w:val="24"/>
          <w:szCs w:val="24"/>
        </w:rPr>
        <w:t xml:space="preserve"> Daniel L. Akin, Bill Curtis, and Stephen Rummage, </w:t>
      </w:r>
      <w:r w:rsidRPr="00AE3F7C">
        <w:rPr>
          <w:i/>
          <w:sz w:val="24"/>
          <w:szCs w:val="24"/>
        </w:rPr>
        <w:t>Engaging Exposition</w:t>
      </w:r>
      <w:r w:rsidRPr="00AE3F7C">
        <w:rPr>
          <w:sz w:val="24"/>
          <w:szCs w:val="24"/>
        </w:rPr>
        <w:t xml:space="preserve"> (Nashville: B &amp; H Academic, 2011), 2.</w:t>
      </w:r>
    </w:p>
    <w:p w:rsidR="00440DFF" w:rsidRPr="00AE3F7C" w:rsidRDefault="00440DFF" w:rsidP="00AE3F7C">
      <w:pPr>
        <w:pStyle w:val="FootnoteText"/>
        <w:ind w:firstLine="720"/>
        <w:rPr>
          <w:sz w:val="24"/>
          <w:szCs w:val="24"/>
        </w:rPr>
      </w:pPr>
    </w:p>
  </w:footnote>
  <w:footnote w:id="36">
    <w:p w:rsidR="00440DFF" w:rsidRPr="00492FB4" w:rsidRDefault="00440DFF" w:rsidP="00492FB4">
      <w:pPr>
        <w:pStyle w:val="FootnoteText"/>
        <w:ind w:firstLine="720"/>
      </w:pPr>
      <w:r>
        <w:rPr>
          <w:rStyle w:val="FootnoteReference"/>
        </w:rPr>
        <w:footnoteRef/>
      </w:r>
      <w:r>
        <w:t xml:space="preserve"> </w:t>
      </w:r>
      <w:r w:rsidRPr="009D378E">
        <w:rPr>
          <w:sz w:val="24"/>
          <w:szCs w:val="24"/>
        </w:rPr>
        <w:t xml:space="preserve">Weatherspoon, </w:t>
      </w:r>
      <w:r w:rsidRPr="009D378E">
        <w:rPr>
          <w:i/>
          <w:sz w:val="24"/>
          <w:szCs w:val="24"/>
        </w:rPr>
        <w:t>On the Preparation and Delivery of Sermons, New and Revised</w:t>
      </w:r>
      <w:r>
        <w:rPr>
          <w:sz w:val="24"/>
          <w:szCs w:val="24"/>
        </w:rPr>
        <w:t>, 142.</w:t>
      </w:r>
    </w:p>
  </w:footnote>
  <w:footnote w:id="37">
    <w:p w:rsidR="00440DFF" w:rsidRDefault="00440DFF" w:rsidP="00FE5AEF">
      <w:pPr>
        <w:pStyle w:val="FootnoteText"/>
        <w:ind w:firstLine="720"/>
        <w:rPr>
          <w:sz w:val="24"/>
          <w:szCs w:val="24"/>
        </w:rPr>
      </w:pPr>
      <w:r>
        <w:rPr>
          <w:rStyle w:val="FootnoteReference"/>
        </w:rPr>
        <w:footnoteRef/>
      </w:r>
      <w:r>
        <w:rPr>
          <w:sz w:val="24"/>
          <w:szCs w:val="24"/>
        </w:rPr>
        <w:t>Ibid.</w:t>
      </w:r>
    </w:p>
    <w:p w:rsidR="00440DFF" w:rsidRDefault="00440DFF" w:rsidP="00FE5AEF">
      <w:pPr>
        <w:pStyle w:val="FootnoteText"/>
        <w:ind w:firstLine="720"/>
      </w:pPr>
      <w:r>
        <w:t xml:space="preserve"> </w:t>
      </w:r>
    </w:p>
  </w:footnote>
  <w:footnote w:id="38">
    <w:p w:rsidR="00440DFF" w:rsidRDefault="00440DFF" w:rsidP="0029028D">
      <w:pPr>
        <w:pStyle w:val="FootnoteText"/>
        <w:ind w:firstLine="720"/>
      </w:pPr>
      <w:r>
        <w:rPr>
          <w:rStyle w:val="FootnoteReference"/>
        </w:rPr>
        <w:footnoteRef/>
      </w:r>
      <w:r>
        <w:rPr>
          <w:sz w:val="24"/>
          <w:szCs w:val="24"/>
        </w:rPr>
        <w:t>Ibid., 15.</w:t>
      </w:r>
      <w:r>
        <w:t xml:space="preserve"> </w:t>
      </w:r>
    </w:p>
    <w:p w:rsidR="00440DFF" w:rsidRDefault="00440DFF" w:rsidP="0029028D">
      <w:pPr>
        <w:pStyle w:val="FootnoteText"/>
        <w:ind w:firstLine="720"/>
      </w:pPr>
    </w:p>
  </w:footnote>
  <w:footnote w:id="39">
    <w:p w:rsidR="00440DFF" w:rsidRDefault="00440DFF" w:rsidP="00A60D1F">
      <w:pPr>
        <w:pStyle w:val="FootnoteText"/>
        <w:ind w:firstLine="720"/>
        <w:rPr>
          <w:sz w:val="24"/>
          <w:szCs w:val="24"/>
        </w:rPr>
      </w:pPr>
      <w:r w:rsidRPr="00A60D1F">
        <w:rPr>
          <w:rStyle w:val="FootnoteReference"/>
          <w:sz w:val="24"/>
          <w:szCs w:val="24"/>
        </w:rPr>
        <w:footnoteRef/>
      </w:r>
      <w:r w:rsidRPr="00A60D1F">
        <w:rPr>
          <w:sz w:val="24"/>
          <w:szCs w:val="24"/>
        </w:rPr>
        <w:t xml:space="preserve"> Ibid.</w:t>
      </w:r>
    </w:p>
    <w:p w:rsidR="00440DFF" w:rsidRPr="00A60D1F" w:rsidRDefault="00440DFF" w:rsidP="00A60D1F">
      <w:pPr>
        <w:pStyle w:val="FootnoteText"/>
        <w:ind w:firstLine="720"/>
        <w:rPr>
          <w:sz w:val="24"/>
          <w:szCs w:val="24"/>
        </w:rPr>
      </w:pPr>
    </w:p>
  </w:footnote>
  <w:footnote w:id="40">
    <w:p w:rsidR="00440DFF" w:rsidRDefault="00440DFF" w:rsidP="007D68C8">
      <w:pPr>
        <w:pStyle w:val="FootnoteText"/>
        <w:ind w:firstLine="720"/>
        <w:rPr>
          <w:sz w:val="24"/>
          <w:szCs w:val="24"/>
        </w:rPr>
      </w:pPr>
      <w:r w:rsidRPr="007D68C8">
        <w:rPr>
          <w:rStyle w:val="FootnoteReference"/>
          <w:sz w:val="24"/>
          <w:szCs w:val="24"/>
        </w:rPr>
        <w:footnoteRef/>
      </w:r>
      <w:r w:rsidRPr="007D68C8">
        <w:rPr>
          <w:sz w:val="24"/>
          <w:szCs w:val="24"/>
        </w:rPr>
        <w:t xml:space="preserve"> Ibid., 19-23.</w:t>
      </w:r>
    </w:p>
    <w:p w:rsidR="00440DFF" w:rsidRPr="007D68C8" w:rsidRDefault="00440DFF" w:rsidP="007D68C8">
      <w:pPr>
        <w:pStyle w:val="FootnoteText"/>
        <w:ind w:firstLine="720"/>
        <w:rPr>
          <w:sz w:val="24"/>
          <w:szCs w:val="24"/>
        </w:rPr>
      </w:pPr>
    </w:p>
  </w:footnote>
  <w:footnote w:id="41">
    <w:p w:rsidR="00E04843" w:rsidRDefault="00E04843" w:rsidP="00E04843">
      <w:pPr>
        <w:pStyle w:val="FootnoteText"/>
        <w:ind w:firstLine="720"/>
        <w:rPr>
          <w:sz w:val="24"/>
          <w:szCs w:val="24"/>
        </w:rPr>
      </w:pPr>
      <w:r w:rsidRPr="00175336">
        <w:rPr>
          <w:rStyle w:val="FootnoteReference"/>
          <w:sz w:val="24"/>
          <w:szCs w:val="24"/>
        </w:rPr>
        <w:footnoteRef/>
      </w:r>
      <w:r w:rsidRPr="00175336">
        <w:rPr>
          <w:sz w:val="24"/>
          <w:szCs w:val="24"/>
        </w:rPr>
        <w:t xml:space="preserve"> Ibid., 60.</w:t>
      </w:r>
    </w:p>
    <w:p w:rsidR="00175336" w:rsidRPr="00175336" w:rsidRDefault="00175336" w:rsidP="00E04843">
      <w:pPr>
        <w:pStyle w:val="FootnoteText"/>
        <w:ind w:firstLine="720"/>
        <w:rPr>
          <w:sz w:val="24"/>
          <w:szCs w:val="24"/>
        </w:rPr>
      </w:pPr>
    </w:p>
  </w:footnote>
  <w:footnote w:id="42">
    <w:p w:rsidR="00175336" w:rsidRDefault="00175336" w:rsidP="00175336">
      <w:pPr>
        <w:pStyle w:val="FootnoteText"/>
        <w:ind w:firstLine="720"/>
        <w:rPr>
          <w:sz w:val="24"/>
          <w:szCs w:val="24"/>
        </w:rPr>
      </w:pPr>
      <w:r w:rsidRPr="00175336">
        <w:rPr>
          <w:rStyle w:val="FootnoteReference"/>
          <w:sz w:val="24"/>
          <w:szCs w:val="24"/>
        </w:rPr>
        <w:footnoteRef/>
      </w:r>
      <w:r w:rsidRPr="00175336">
        <w:rPr>
          <w:sz w:val="24"/>
          <w:szCs w:val="24"/>
        </w:rPr>
        <w:t xml:space="preserve"> Ibid.</w:t>
      </w:r>
    </w:p>
    <w:p w:rsidR="002D6F52" w:rsidRDefault="002D6F52" w:rsidP="00175336">
      <w:pPr>
        <w:pStyle w:val="FootnoteText"/>
        <w:ind w:firstLine="720"/>
      </w:pPr>
    </w:p>
  </w:footnote>
  <w:footnote w:id="43">
    <w:p w:rsidR="005B1C53" w:rsidRDefault="005B1C53" w:rsidP="002D6F52">
      <w:pPr>
        <w:pStyle w:val="FootnoteText"/>
        <w:ind w:firstLine="720"/>
        <w:rPr>
          <w:sz w:val="24"/>
          <w:szCs w:val="24"/>
        </w:rPr>
      </w:pPr>
      <w:r w:rsidRPr="002D6F52">
        <w:rPr>
          <w:rStyle w:val="FootnoteReference"/>
          <w:sz w:val="24"/>
          <w:szCs w:val="24"/>
        </w:rPr>
        <w:footnoteRef/>
      </w:r>
      <w:r w:rsidRPr="002D6F52">
        <w:rPr>
          <w:sz w:val="24"/>
          <w:szCs w:val="24"/>
        </w:rPr>
        <w:t xml:space="preserve"> Ibid.</w:t>
      </w:r>
    </w:p>
    <w:p w:rsidR="00C76802" w:rsidRPr="002D6F52" w:rsidRDefault="00C76802" w:rsidP="002D6F52">
      <w:pPr>
        <w:pStyle w:val="FootnoteText"/>
        <w:ind w:firstLine="720"/>
        <w:rPr>
          <w:sz w:val="24"/>
          <w:szCs w:val="24"/>
        </w:rPr>
      </w:pPr>
    </w:p>
  </w:footnote>
  <w:footnote w:id="44">
    <w:p w:rsidR="00C76802" w:rsidRDefault="00C76802" w:rsidP="00C76802">
      <w:pPr>
        <w:pStyle w:val="FootnoteText"/>
        <w:ind w:firstLine="720"/>
        <w:rPr>
          <w:sz w:val="24"/>
          <w:szCs w:val="24"/>
        </w:rPr>
      </w:pPr>
      <w:r w:rsidRPr="00C76802">
        <w:rPr>
          <w:rStyle w:val="FootnoteReference"/>
          <w:sz w:val="24"/>
          <w:szCs w:val="24"/>
        </w:rPr>
        <w:footnoteRef/>
      </w:r>
      <w:r w:rsidRPr="00C76802">
        <w:rPr>
          <w:sz w:val="24"/>
          <w:szCs w:val="24"/>
        </w:rPr>
        <w:t xml:space="preserve"> Ibid., 62.</w:t>
      </w:r>
    </w:p>
    <w:p w:rsidR="00143296" w:rsidRPr="00C76802" w:rsidRDefault="00143296" w:rsidP="00C76802">
      <w:pPr>
        <w:pStyle w:val="FootnoteText"/>
        <w:ind w:firstLine="720"/>
        <w:rPr>
          <w:sz w:val="24"/>
          <w:szCs w:val="24"/>
        </w:rPr>
      </w:pPr>
    </w:p>
  </w:footnote>
  <w:footnote w:id="45">
    <w:p w:rsidR="00E60C5B" w:rsidRDefault="00E60C5B" w:rsidP="00143296">
      <w:pPr>
        <w:pStyle w:val="FootnoteText"/>
        <w:ind w:firstLine="720"/>
        <w:rPr>
          <w:sz w:val="24"/>
          <w:szCs w:val="24"/>
        </w:rPr>
      </w:pPr>
      <w:r w:rsidRPr="00143296">
        <w:rPr>
          <w:rStyle w:val="FootnoteReference"/>
          <w:sz w:val="24"/>
          <w:szCs w:val="24"/>
        </w:rPr>
        <w:footnoteRef/>
      </w:r>
      <w:r w:rsidRPr="00143296">
        <w:rPr>
          <w:sz w:val="24"/>
          <w:szCs w:val="24"/>
        </w:rPr>
        <w:t xml:space="preserve"> </w:t>
      </w:r>
      <w:r w:rsidR="00143296" w:rsidRPr="00143296">
        <w:rPr>
          <w:sz w:val="24"/>
          <w:szCs w:val="24"/>
        </w:rPr>
        <w:t>Ibid., 317.</w:t>
      </w:r>
    </w:p>
    <w:p w:rsidR="00143296" w:rsidRPr="00143296" w:rsidRDefault="00143296">
      <w:pPr>
        <w:pStyle w:val="FootnoteText"/>
        <w:rPr>
          <w:sz w:val="24"/>
          <w:szCs w:val="24"/>
        </w:rPr>
      </w:pPr>
    </w:p>
  </w:footnote>
  <w:footnote w:id="46">
    <w:p w:rsidR="00143296" w:rsidRDefault="00143296" w:rsidP="00143296">
      <w:pPr>
        <w:pStyle w:val="FootnoteText"/>
        <w:ind w:firstLine="720"/>
        <w:rPr>
          <w:sz w:val="24"/>
          <w:szCs w:val="24"/>
        </w:rPr>
      </w:pPr>
      <w:r w:rsidRPr="00143296">
        <w:rPr>
          <w:rStyle w:val="FootnoteReference"/>
          <w:sz w:val="24"/>
          <w:szCs w:val="24"/>
        </w:rPr>
        <w:footnoteRef/>
      </w:r>
      <w:r w:rsidRPr="00143296">
        <w:rPr>
          <w:sz w:val="24"/>
          <w:szCs w:val="24"/>
        </w:rPr>
        <w:t xml:space="preserve"> Ibid., 317 -319.</w:t>
      </w:r>
    </w:p>
    <w:p w:rsidR="00143296" w:rsidRPr="00143296" w:rsidRDefault="00143296" w:rsidP="00143296">
      <w:pPr>
        <w:pStyle w:val="FootnoteText"/>
        <w:ind w:firstLine="720"/>
        <w:rPr>
          <w:sz w:val="24"/>
          <w:szCs w:val="24"/>
        </w:rPr>
      </w:pPr>
    </w:p>
  </w:footnote>
  <w:footnote w:id="47">
    <w:p w:rsidR="009E4677" w:rsidRDefault="009E4677" w:rsidP="009E4677">
      <w:pPr>
        <w:pStyle w:val="FootnoteText"/>
        <w:ind w:firstLine="720"/>
        <w:rPr>
          <w:sz w:val="24"/>
          <w:szCs w:val="24"/>
        </w:rPr>
      </w:pPr>
      <w:r w:rsidRPr="009E4677">
        <w:rPr>
          <w:rStyle w:val="FootnoteReference"/>
          <w:sz w:val="24"/>
          <w:szCs w:val="24"/>
        </w:rPr>
        <w:footnoteRef/>
      </w:r>
      <w:r w:rsidRPr="009E4677">
        <w:rPr>
          <w:sz w:val="24"/>
          <w:szCs w:val="24"/>
        </w:rPr>
        <w:t xml:space="preserve"> Ibid., 320.</w:t>
      </w:r>
    </w:p>
    <w:p w:rsidR="009E4677" w:rsidRPr="009E4677" w:rsidRDefault="009E4677">
      <w:pPr>
        <w:pStyle w:val="FootnoteText"/>
        <w:rPr>
          <w:sz w:val="24"/>
          <w:szCs w:val="24"/>
        </w:rPr>
      </w:pPr>
    </w:p>
  </w:footnote>
  <w:footnote w:id="48">
    <w:p w:rsidR="00D57E10" w:rsidRPr="00D57E10" w:rsidRDefault="00D57E10" w:rsidP="00D57E10">
      <w:pPr>
        <w:pStyle w:val="FootnoteText"/>
        <w:ind w:firstLine="720"/>
        <w:rPr>
          <w:sz w:val="24"/>
          <w:szCs w:val="24"/>
        </w:rPr>
      </w:pPr>
      <w:r w:rsidRPr="00D57E10">
        <w:rPr>
          <w:rStyle w:val="FootnoteReference"/>
          <w:sz w:val="24"/>
          <w:szCs w:val="24"/>
        </w:rPr>
        <w:footnoteRef/>
      </w:r>
      <w:r w:rsidRPr="00D57E10">
        <w:rPr>
          <w:sz w:val="24"/>
          <w:szCs w:val="24"/>
        </w:rPr>
        <w:t xml:space="preserve"> Ibid., </w:t>
      </w:r>
      <w:r w:rsidR="00EA381C">
        <w:rPr>
          <w:sz w:val="24"/>
          <w:szCs w:val="24"/>
        </w:rPr>
        <w:t>32</w:t>
      </w:r>
      <w:r w:rsidRPr="00D57E10">
        <w:rPr>
          <w:sz w:val="24"/>
          <w:szCs w:val="24"/>
        </w:rPr>
        <w:t>2.</w:t>
      </w:r>
    </w:p>
  </w:footnote>
  <w:footnote w:id="49">
    <w:p w:rsidR="00EA381C" w:rsidRDefault="00EA381C" w:rsidP="00EA381C">
      <w:pPr>
        <w:pStyle w:val="FootnoteText"/>
        <w:ind w:firstLine="720"/>
        <w:rPr>
          <w:sz w:val="24"/>
          <w:szCs w:val="24"/>
        </w:rPr>
      </w:pPr>
      <w:r w:rsidRPr="00EA381C">
        <w:rPr>
          <w:rStyle w:val="FootnoteReference"/>
          <w:sz w:val="24"/>
          <w:szCs w:val="24"/>
        </w:rPr>
        <w:footnoteRef/>
      </w:r>
      <w:r w:rsidRPr="00EA381C">
        <w:rPr>
          <w:sz w:val="24"/>
          <w:szCs w:val="24"/>
        </w:rPr>
        <w:t xml:space="preserve"> Ibid., 323.</w:t>
      </w:r>
    </w:p>
    <w:p w:rsidR="00EA381C" w:rsidRPr="00EA381C" w:rsidRDefault="00EA381C">
      <w:pPr>
        <w:pStyle w:val="FootnoteText"/>
        <w:rPr>
          <w:sz w:val="24"/>
          <w:szCs w:val="24"/>
        </w:rPr>
      </w:pPr>
    </w:p>
  </w:footnote>
  <w:footnote w:id="50">
    <w:p w:rsidR="00293BE6" w:rsidRDefault="00293BE6" w:rsidP="00293BE6">
      <w:pPr>
        <w:pStyle w:val="FootnoteText"/>
        <w:ind w:firstLine="720"/>
        <w:rPr>
          <w:sz w:val="24"/>
          <w:szCs w:val="24"/>
        </w:rPr>
      </w:pPr>
      <w:r w:rsidRPr="00904772">
        <w:rPr>
          <w:rStyle w:val="FootnoteReference"/>
          <w:sz w:val="24"/>
          <w:szCs w:val="24"/>
        </w:rPr>
        <w:footnoteRef/>
      </w:r>
      <w:r w:rsidRPr="00904772">
        <w:rPr>
          <w:sz w:val="24"/>
          <w:szCs w:val="24"/>
        </w:rPr>
        <w:t xml:space="preserve"> Ibid.</w:t>
      </w:r>
    </w:p>
    <w:p w:rsidR="00293BE6" w:rsidRPr="00904772" w:rsidRDefault="00293BE6" w:rsidP="00293BE6">
      <w:pPr>
        <w:pStyle w:val="FootnoteText"/>
        <w:rPr>
          <w:sz w:val="24"/>
          <w:szCs w:val="24"/>
        </w:rPr>
      </w:pPr>
    </w:p>
  </w:footnote>
  <w:footnote w:id="51">
    <w:p w:rsidR="00623369" w:rsidRDefault="00623369" w:rsidP="00623369">
      <w:pPr>
        <w:pStyle w:val="FootnoteText"/>
        <w:ind w:firstLine="720"/>
        <w:rPr>
          <w:sz w:val="24"/>
          <w:szCs w:val="24"/>
        </w:rPr>
      </w:pPr>
      <w:r w:rsidRPr="00623369">
        <w:rPr>
          <w:rStyle w:val="FootnoteReference"/>
          <w:sz w:val="24"/>
          <w:szCs w:val="24"/>
        </w:rPr>
        <w:footnoteRef/>
      </w:r>
      <w:r w:rsidRPr="00623369">
        <w:rPr>
          <w:sz w:val="24"/>
          <w:szCs w:val="24"/>
        </w:rPr>
        <w:t xml:space="preserve"> Ibid.,</w:t>
      </w:r>
      <w:r>
        <w:rPr>
          <w:sz w:val="24"/>
          <w:szCs w:val="24"/>
        </w:rPr>
        <w:t xml:space="preserve"> </w:t>
      </w:r>
      <w:r w:rsidRPr="00623369">
        <w:rPr>
          <w:sz w:val="24"/>
          <w:szCs w:val="24"/>
        </w:rPr>
        <w:t>328.</w:t>
      </w:r>
    </w:p>
    <w:p w:rsidR="005C5967" w:rsidRPr="00623369" w:rsidRDefault="005C5967" w:rsidP="00623369">
      <w:pPr>
        <w:pStyle w:val="FootnoteText"/>
        <w:ind w:firstLine="720"/>
        <w:rPr>
          <w:sz w:val="24"/>
          <w:szCs w:val="24"/>
        </w:rPr>
      </w:pPr>
    </w:p>
  </w:footnote>
  <w:footnote w:id="52">
    <w:p w:rsidR="005C5967" w:rsidRPr="005C5967" w:rsidRDefault="005C5967" w:rsidP="005C5967">
      <w:pPr>
        <w:pStyle w:val="FootnoteText"/>
        <w:ind w:firstLine="720"/>
        <w:rPr>
          <w:sz w:val="24"/>
          <w:szCs w:val="24"/>
        </w:rPr>
      </w:pPr>
      <w:r w:rsidRPr="005C5967">
        <w:rPr>
          <w:rStyle w:val="FootnoteReference"/>
          <w:sz w:val="24"/>
          <w:szCs w:val="24"/>
        </w:rPr>
        <w:footnoteRef/>
      </w:r>
      <w:r w:rsidRPr="005C5967">
        <w:rPr>
          <w:sz w:val="24"/>
          <w:szCs w:val="24"/>
        </w:rPr>
        <w:t xml:space="preserve"> Ibid., 330-333.</w:t>
      </w:r>
    </w:p>
  </w:footnote>
  <w:footnote w:id="53">
    <w:p w:rsidR="00440DFF" w:rsidRDefault="00440DFF" w:rsidP="00D104E4">
      <w:pPr>
        <w:pStyle w:val="FootnoteText"/>
        <w:ind w:firstLine="720"/>
        <w:rPr>
          <w:sz w:val="24"/>
          <w:szCs w:val="24"/>
        </w:rPr>
      </w:pPr>
      <w:r>
        <w:rPr>
          <w:rStyle w:val="FootnoteReference"/>
        </w:rPr>
        <w:footnoteRef/>
      </w:r>
      <w:r>
        <w:t xml:space="preserve"> </w:t>
      </w:r>
      <w:r w:rsidRPr="001C137E">
        <w:rPr>
          <w:sz w:val="24"/>
          <w:szCs w:val="24"/>
        </w:rPr>
        <w:t xml:space="preserve">Stanfield, </w:t>
      </w:r>
      <w:r w:rsidRPr="001C137E">
        <w:rPr>
          <w:i/>
          <w:sz w:val="24"/>
          <w:szCs w:val="24"/>
        </w:rPr>
        <w:t>Favorite Sermons of John A. Broadus</w:t>
      </w:r>
      <w:r>
        <w:rPr>
          <w:sz w:val="24"/>
          <w:szCs w:val="24"/>
        </w:rPr>
        <w:t>, 68.</w:t>
      </w:r>
    </w:p>
    <w:p w:rsidR="00440DFF" w:rsidRPr="005B6B66" w:rsidRDefault="00440DFF">
      <w:pPr>
        <w:pStyle w:val="FootnoteText"/>
        <w:rPr>
          <w:sz w:val="24"/>
          <w:szCs w:val="24"/>
        </w:rPr>
      </w:pPr>
    </w:p>
  </w:footnote>
  <w:footnote w:id="54">
    <w:p w:rsidR="00440DFF" w:rsidRDefault="00440DFF" w:rsidP="005B6B66">
      <w:pPr>
        <w:pStyle w:val="FootnoteText"/>
        <w:ind w:firstLine="720"/>
        <w:rPr>
          <w:sz w:val="24"/>
          <w:szCs w:val="24"/>
        </w:rPr>
      </w:pPr>
      <w:r w:rsidRPr="005B6B66">
        <w:rPr>
          <w:rStyle w:val="FootnoteReference"/>
          <w:sz w:val="24"/>
          <w:szCs w:val="24"/>
        </w:rPr>
        <w:footnoteRef/>
      </w:r>
      <w:r w:rsidRPr="005B6B66">
        <w:rPr>
          <w:sz w:val="24"/>
          <w:szCs w:val="24"/>
        </w:rPr>
        <w:t xml:space="preserve"> Ibid.7.</w:t>
      </w:r>
    </w:p>
    <w:p w:rsidR="00440DFF" w:rsidRDefault="00440DFF">
      <w:pPr>
        <w:pStyle w:val="FootnoteText"/>
      </w:pPr>
    </w:p>
  </w:footnote>
  <w:footnote w:id="55">
    <w:p w:rsidR="00440DFF" w:rsidRDefault="00440DFF" w:rsidP="00ED525D">
      <w:pPr>
        <w:pStyle w:val="FootnoteText"/>
        <w:ind w:firstLine="720"/>
        <w:rPr>
          <w:sz w:val="24"/>
          <w:szCs w:val="24"/>
        </w:rPr>
      </w:pPr>
      <w:r w:rsidRPr="00ED525D">
        <w:rPr>
          <w:rStyle w:val="FootnoteReference"/>
          <w:sz w:val="24"/>
          <w:szCs w:val="24"/>
        </w:rPr>
        <w:footnoteRef/>
      </w:r>
      <w:r w:rsidRPr="00ED525D">
        <w:rPr>
          <w:sz w:val="24"/>
          <w:szCs w:val="24"/>
        </w:rPr>
        <w:t xml:space="preserve"> </w:t>
      </w:r>
      <w:r w:rsidRPr="009D378E">
        <w:rPr>
          <w:sz w:val="24"/>
          <w:szCs w:val="24"/>
        </w:rPr>
        <w:t xml:space="preserve">Weatherspoon, </w:t>
      </w:r>
      <w:r w:rsidRPr="009D378E">
        <w:rPr>
          <w:i/>
          <w:sz w:val="24"/>
          <w:szCs w:val="24"/>
        </w:rPr>
        <w:t>On the Preparation and Delivery of Sermons, New and Revised</w:t>
      </w:r>
      <w:r>
        <w:rPr>
          <w:sz w:val="24"/>
          <w:szCs w:val="24"/>
        </w:rPr>
        <w:t>, 101.</w:t>
      </w:r>
    </w:p>
    <w:p w:rsidR="00440DFF" w:rsidRPr="00ED525D" w:rsidRDefault="00440DFF">
      <w:pPr>
        <w:pStyle w:val="FootnoteText"/>
        <w:rPr>
          <w:sz w:val="24"/>
          <w:szCs w:val="24"/>
        </w:rPr>
      </w:pPr>
    </w:p>
  </w:footnote>
  <w:footnote w:id="56">
    <w:p w:rsidR="00440DFF" w:rsidRDefault="00440DFF" w:rsidP="00ED525D">
      <w:pPr>
        <w:pStyle w:val="FootnoteText"/>
        <w:ind w:firstLine="720"/>
        <w:rPr>
          <w:sz w:val="24"/>
          <w:szCs w:val="24"/>
        </w:rPr>
      </w:pPr>
      <w:r w:rsidRPr="00ED525D">
        <w:rPr>
          <w:rStyle w:val="FootnoteReference"/>
          <w:sz w:val="24"/>
          <w:szCs w:val="24"/>
        </w:rPr>
        <w:footnoteRef/>
      </w:r>
      <w:r w:rsidRPr="00ED525D">
        <w:rPr>
          <w:sz w:val="24"/>
          <w:szCs w:val="24"/>
        </w:rPr>
        <w:t xml:space="preserve"> Ibid.</w:t>
      </w:r>
    </w:p>
    <w:p w:rsidR="00440DFF" w:rsidRDefault="00440DFF" w:rsidP="00ED525D">
      <w:pPr>
        <w:pStyle w:val="FootnoteText"/>
        <w:ind w:firstLine="720"/>
      </w:pPr>
    </w:p>
  </w:footnote>
  <w:footnote w:id="57">
    <w:p w:rsidR="00440DFF" w:rsidRDefault="00440DFF" w:rsidP="00A9593B">
      <w:pPr>
        <w:pStyle w:val="FootnoteText"/>
        <w:ind w:firstLine="720"/>
        <w:rPr>
          <w:sz w:val="24"/>
          <w:szCs w:val="24"/>
        </w:rPr>
      </w:pPr>
      <w:r w:rsidRPr="00A9593B">
        <w:rPr>
          <w:rStyle w:val="FootnoteReference"/>
          <w:sz w:val="24"/>
          <w:szCs w:val="24"/>
        </w:rPr>
        <w:footnoteRef/>
      </w:r>
      <w:r w:rsidRPr="00A9593B">
        <w:rPr>
          <w:sz w:val="24"/>
          <w:szCs w:val="24"/>
        </w:rPr>
        <w:t xml:space="preserve"> Ibid, 103-104.</w:t>
      </w:r>
    </w:p>
    <w:p w:rsidR="00440DFF" w:rsidRPr="00A9593B" w:rsidRDefault="00440DFF" w:rsidP="00A9593B">
      <w:pPr>
        <w:pStyle w:val="FootnoteText"/>
        <w:ind w:firstLine="720"/>
        <w:rPr>
          <w:sz w:val="24"/>
          <w:szCs w:val="24"/>
        </w:rPr>
      </w:pPr>
    </w:p>
  </w:footnote>
  <w:footnote w:id="58">
    <w:p w:rsidR="00440DFF" w:rsidRDefault="00440DFF" w:rsidP="006F18A0">
      <w:pPr>
        <w:pStyle w:val="FootnoteText"/>
        <w:ind w:firstLine="720"/>
        <w:rPr>
          <w:sz w:val="24"/>
          <w:szCs w:val="24"/>
        </w:rPr>
      </w:pPr>
      <w:r w:rsidRPr="00462C0A">
        <w:rPr>
          <w:rStyle w:val="FootnoteReference"/>
          <w:sz w:val="24"/>
          <w:szCs w:val="24"/>
        </w:rPr>
        <w:footnoteRef/>
      </w:r>
      <w:r w:rsidRPr="00462C0A">
        <w:rPr>
          <w:sz w:val="24"/>
          <w:szCs w:val="24"/>
        </w:rPr>
        <w:t xml:space="preserve"> Ibid., 105.</w:t>
      </w:r>
    </w:p>
    <w:p w:rsidR="00440DFF" w:rsidRPr="00462C0A" w:rsidRDefault="00440DFF" w:rsidP="006F18A0">
      <w:pPr>
        <w:pStyle w:val="FootnoteText"/>
        <w:ind w:firstLine="720"/>
        <w:rPr>
          <w:sz w:val="24"/>
          <w:szCs w:val="24"/>
        </w:rPr>
      </w:pPr>
    </w:p>
  </w:footnote>
  <w:footnote w:id="59">
    <w:p w:rsidR="00440DFF" w:rsidRDefault="00440DFF" w:rsidP="00442BA6">
      <w:pPr>
        <w:pStyle w:val="FootnoteText"/>
        <w:ind w:firstLine="720"/>
        <w:rPr>
          <w:sz w:val="24"/>
          <w:szCs w:val="24"/>
        </w:rPr>
      </w:pPr>
      <w:r w:rsidRPr="00442BA6">
        <w:rPr>
          <w:rStyle w:val="FootnoteReference"/>
          <w:sz w:val="24"/>
          <w:szCs w:val="24"/>
        </w:rPr>
        <w:footnoteRef/>
      </w:r>
      <w:r w:rsidRPr="00442BA6">
        <w:rPr>
          <w:sz w:val="24"/>
          <w:szCs w:val="24"/>
        </w:rPr>
        <w:t xml:space="preserve"> Ibid.</w:t>
      </w:r>
    </w:p>
    <w:p w:rsidR="00440DFF" w:rsidRPr="00442BA6" w:rsidRDefault="00440DFF" w:rsidP="00442BA6">
      <w:pPr>
        <w:pStyle w:val="FootnoteText"/>
        <w:ind w:firstLine="720"/>
        <w:rPr>
          <w:sz w:val="24"/>
          <w:szCs w:val="24"/>
        </w:rPr>
      </w:pPr>
    </w:p>
  </w:footnote>
  <w:footnote w:id="60">
    <w:p w:rsidR="00440DFF" w:rsidRDefault="00440DFF" w:rsidP="00622954">
      <w:pPr>
        <w:pStyle w:val="FootnoteText"/>
        <w:ind w:firstLine="720"/>
        <w:rPr>
          <w:sz w:val="24"/>
          <w:szCs w:val="24"/>
        </w:rPr>
      </w:pPr>
      <w:r w:rsidRPr="00622954">
        <w:rPr>
          <w:rStyle w:val="FootnoteReference"/>
          <w:sz w:val="24"/>
          <w:szCs w:val="24"/>
        </w:rPr>
        <w:footnoteRef/>
      </w:r>
      <w:r w:rsidRPr="00622954">
        <w:rPr>
          <w:sz w:val="24"/>
          <w:szCs w:val="24"/>
        </w:rPr>
        <w:t>Ibid., 106.</w:t>
      </w:r>
    </w:p>
    <w:p w:rsidR="00440DFF" w:rsidRPr="00622954" w:rsidRDefault="00440DFF" w:rsidP="00622954">
      <w:pPr>
        <w:pStyle w:val="FootnoteText"/>
        <w:ind w:firstLine="720"/>
        <w:rPr>
          <w:sz w:val="24"/>
          <w:szCs w:val="24"/>
        </w:rPr>
      </w:pPr>
    </w:p>
  </w:footnote>
  <w:footnote w:id="61">
    <w:p w:rsidR="00440DFF" w:rsidRDefault="00440DFF" w:rsidP="00E624AE">
      <w:pPr>
        <w:pStyle w:val="FootnoteText"/>
        <w:ind w:firstLine="720"/>
        <w:rPr>
          <w:sz w:val="24"/>
          <w:szCs w:val="24"/>
        </w:rPr>
      </w:pPr>
      <w:r w:rsidRPr="00E624AE">
        <w:rPr>
          <w:rStyle w:val="FootnoteReference"/>
          <w:sz w:val="24"/>
          <w:szCs w:val="24"/>
        </w:rPr>
        <w:footnoteRef/>
      </w:r>
      <w:r w:rsidRPr="00E624AE">
        <w:rPr>
          <w:sz w:val="24"/>
          <w:szCs w:val="24"/>
        </w:rPr>
        <w:t xml:space="preserve"> Ibid.</w:t>
      </w:r>
    </w:p>
    <w:p w:rsidR="00440DFF" w:rsidRPr="00E624AE" w:rsidRDefault="00440DFF" w:rsidP="00E624AE">
      <w:pPr>
        <w:pStyle w:val="FootnoteText"/>
        <w:ind w:firstLine="720"/>
        <w:rPr>
          <w:sz w:val="24"/>
          <w:szCs w:val="24"/>
        </w:rPr>
      </w:pPr>
    </w:p>
  </w:footnote>
  <w:footnote w:id="62">
    <w:p w:rsidR="00440DFF" w:rsidRDefault="00440DFF" w:rsidP="00E624AE">
      <w:pPr>
        <w:pStyle w:val="FootnoteText"/>
        <w:ind w:firstLine="720"/>
        <w:rPr>
          <w:sz w:val="24"/>
          <w:szCs w:val="24"/>
        </w:rPr>
      </w:pPr>
      <w:r w:rsidRPr="00E624AE">
        <w:rPr>
          <w:rStyle w:val="FootnoteReference"/>
          <w:sz w:val="24"/>
          <w:szCs w:val="24"/>
        </w:rPr>
        <w:footnoteRef/>
      </w:r>
      <w:r w:rsidRPr="00E624AE">
        <w:rPr>
          <w:sz w:val="24"/>
          <w:szCs w:val="24"/>
        </w:rPr>
        <w:t xml:space="preserve"> Ibid.</w:t>
      </w:r>
    </w:p>
    <w:p w:rsidR="00440DFF" w:rsidRPr="00E624AE" w:rsidRDefault="00440DFF" w:rsidP="00E624AE">
      <w:pPr>
        <w:pStyle w:val="FootnoteText"/>
        <w:ind w:firstLine="720"/>
        <w:rPr>
          <w:sz w:val="24"/>
          <w:szCs w:val="24"/>
        </w:rPr>
      </w:pPr>
    </w:p>
  </w:footnote>
  <w:footnote w:id="63">
    <w:p w:rsidR="00440DFF" w:rsidRDefault="00440DFF" w:rsidP="00EB0948">
      <w:pPr>
        <w:pStyle w:val="FootnoteText"/>
        <w:ind w:firstLine="720"/>
        <w:rPr>
          <w:sz w:val="24"/>
          <w:szCs w:val="24"/>
        </w:rPr>
      </w:pPr>
      <w:r w:rsidRPr="00EB0948">
        <w:rPr>
          <w:rStyle w:val="FootnoteReference"/>
          <w:sz w:val="24"/>
          <w:szCs w:val="24"/>
        </w:rPr>
        <w:footnoteRef/>
      </w:r>
      <w:r w:rsidRPr="00EB0948">
        <w:rPr>
          <w:sz w:val="24"/>
          <w:szCs w:val="24"/>
        </w:rPr>
        <w:t xml:space="preserve"> Ibid., 107.</w:t>
      </w:r>
    </w:p>
    <w:p w:rsidR="00440DFF" w:rsidRPr="00EB0948" w:rsidRDefault="00440DFF" w:rsidP="00EB0948">
      <w:pPr>
        <w:pStyle w:val="FootnoteText"/>
        <w:ind w:firstLine="720"/>
        <w:rPr>
          <w:sz w:val="24"/>
          <w:szCs w:val="24"/>
        </w:rPr>
      </w:pPr>
    </w:p>
  </w:footnote>
  <w:footnote w:id="64">
    <w:p w:rsidR="00440DFF" w:rsidRDefault="00440DFF" w:rsidP="00AE6BFA">
      <w:pPr>
        <w:pStyle w:val="FootnoteText"/>
        <w:ind w:firstLine="720"/>
        <w:rPr>
          <w:sz w:val="24"/>
          <w:szCs w:val="24"/>
        </w:rPr>
      </w:pPr>
      <w:r w:rsidRPr="00AE6BFA">
        <w:rPr>
          <w:rStyle w:val="FootnoteReference"/>
          <w:sz w:val="24"/>
          <w:szCs w:val="24"/>
        </w:rPr>
        <w:footnoteRef/>
      </w:r>
      <w:r w:rsidRPr="00AE6BFA">
        <w:rPr>
          <w:sz w:val="24"/>
          <w:szCs w:val="24"/>
        </w:rPr>
        <w:t xml:space="preserve"> Ibid.</w:t>
      </w:r>
    </w:p>
    <w:p w:rsidR="00440DFF" w:rsidRPr="00AE6BFA" w:rsidRDefault="00440DFF" w:rsidP="00AE6BFA">
      <w:pPr>
        <w:pStyle w:val="FootnoteText"/>
        <w:ind w:firstLine="720"/>
        <w:rPr>
          <w:sz w:val="24"/>
          <w:szCs w:val="24"/>
        </w:rPr>
      </w:pPr>
    </w:p>
  </w:footnote>
  <w:footnote w:id="65">
    <w:p w:rsidR="00440DFF" w:rsidRDefault="00440DFF" w:rsidP="00855D0C">
      <w:pPr>
        <w:pStyle w:val="FootnoteText"/>
        <w:ind w:firstLine="720"/>
        <w:rPr>
          <w:sz w:val="24"/>
          <w:szCs w:val="24"/>
        </w:rPr>
      </w:pPr>
      <w:r w:rsidRPr="00855D0C">
        <w:rPr>
          <w:rStyle w:val="FootnoteReference"/>
          <w:sz w:val="24"/>
          <w:szCs w:val="24"/>
        </w:rPr>
        <w:footnoteRef/>
      </w:r>
      <w:r w:rsidRPr="00855D0C">
        <w:rPr>
          <w:sz w:val="24"/>
          <w:szCs w:val="24"/>
        </w:rPr>
        <w:t xml:space="preserve"> Ibid.</w:t>
      </w:r>
    </w:p>
    <w:p w:rsidR="00440DFF" w:rsidRPr="00855D0C" w:rsidRDefault="00440DFF" w:rsidP="00855D0C">
      <w:pPr>
        <w:pStyle w:val="FootnoteText"/>
        <w:ind w:firstLine="720"/>
        <w:rPr>
          <w:sz w:val="24"/>
          <w:szCs w:val="24"/>
        </w:rPr>
      </w:pPr>
    </w:p>
  </w:footnote>
  <w:footnote w:id="66">
    <w:p w:rsidR="00440DFF" w:rsidRDefault="00440DFF" w:rsidP="001C137E">
      <w:pPr>
        <w:pStyle w:val="FootnoteText"/>
        <w:ind w:firstLine="720"/>
        <w:rPr>
          <w:sz w:val="24"/>
          <w:szCs w:val="24"/>
        </w:rPr>
      </w:pPr>
      <w:r>
        <w:rPr>
          <w:rStyle w:val="FootnoteReference"/>
        </w:rPr>
        <w:footnoteRef/>
      </w:r>
      <w:r w:rsidRPr="001C137E">
        <w:rPr>
          <w:sz w:val="24"/>
          <w:szCs w:val="24"/>
        </w:rPr>
        <w:t xml:space="preserve">Stanfield, </w:t>
      </w:r>
      <w:r w:rsidRPr="001C137E">
        <w:rPr>
          <w:i/>
          <w:sz w:val="24"/>
          <w:szCs w:val="24"/>
        </w:rPr>
        <w:t>Favorite Sermons of John A. Broadus</w:t>
      </w:r>
      <w:r w:rsidRPr="001C137E">
        <w:rPr>
          <w:sz w:val="24"/>
          <w:szCs w:val="24"/>
        </w:rPr>
        <w:t>, 66</w:t>
      </w:r>
      <w:r>
        <w:rPr>
          <w:sz w:val="24"/>
          <w:szCs w:val="24"/>
        </w:rPr>
        <w:t>.</w:t>
      </w:r>
    </w:p>
    <w:p w:rsidR="00440DFF" w:rsidRDefault="00440DFF" w:rsidP="001C137E">
      <w:pPr>
        <w:pStyle w:val="FootnoteText"/>
        <w:ind w:firstLine="720"/>
      </w:pPr>
      <w:r>
        <w:t xml:space="preserve"> </w:t>
      </w:r>
    </w:p>
  </w:footnote>
  <w:footnote w:id="67">
    <w:p w:rsidR="00440DFF" w:rsidRDefault="00440DFF" w:rsidP="00E23F2F">
      <w:pPr>
        <w:pStyle w:val="FootnoteText"/>
        <w:ind w:firstLine="720"/>
        <w:rPr>
          <w:sz w:val="24"/>
          <w:szCs w:val="24"/>
        </w:rPr>
      </w:pPr>
      <w:r w:rsidRPr="00E23F2F">
        <w:rPr>
          <w:rStyle w:val="FootnoteReference"/>
          <w:sz w:val="24"/>
          <w:szCs w:val="24"/>
        </w:rPr>
        <w:footnoteRef/>
      </w:r>
      <w:r w:rsidRPr="00E23F2F">
        <w:rPr>
          <w:sz w:val="24"/>
          <w:szCs w:val="24"/>
        </w:rPr>
        <w:t xml:space="preserve"> Ibid., </w:t>
      </w:r>
      <w:proofErr w:type="spellStart"/>
      <w:r w:rsidRPr="00E23F2F">
        <w:rPr>
          <w:sz w:val="24"/>
          <w:szCs w:val="24"/>
        </w:rPr>
        <w:t>Foreward</w:t>
      </w:r>
      <w:proofErr w:type="spellEnd"/>
      <w:r w:rsidRPr="00E23F2F">
        <w:rPr>
          <w:sz w:val="24"/>
          <w:szCs w:val="24"/>
        </w:rPr>
        <w:t>.</w:t>
      </w:r>
    </w:p>
    <w:p w:rsidR="00440DFF" w:rsidRPr="00E23F2F" w:rsidRDefault="00440DFF" w:rsidP="00E23F2F">
      <w:pPr>
        <w:pStyle w:val="FootnoteText"/>
        <w:ind w:firstLine="720"/>
        <w:rPr>
          <w:sz w:val="24"/>
          <w:szCs w:val="24"/>
        </w:rPr>
      </w:pPr>
    </w:p>
  </w:footnote>
  <w:footnote w:id="68">
    <w:p w:rsidR="00440DFF" w:rsidRDefault="00440DFF" w:rsidP="002B1764">
      <w:pPr>
        <w:pStyle w:val="FootnoteText"/>
        <w:ind w:firstLine="720"/>
        <w:rPr>
          <w:sz w:val="24"/>
          <w:szCs w:val="24"/>
        </w:rPr>
      </w:pPr>
      <w:r>
        <w:rPr>
          <w:rStyle w:val="FootnoteReference"/>
        </w:rPr>
        <w:footnoteRef/>
      </w:r>
      <w:r w:rsidRPr="00ED525D">
        <w:rPr>
          <w:sz w:val="24"/>
          <w:szCs w:val="24"/>
        </w:rPr>
        <w:t xml:space="preserve">Weatherspoon, </w:t>
      </w:r>
      <w:r w:rsidRPr="00ED525D">
        <w:rPr>
          <w:i/>
          <w:sz w:val="24"/>
          <w:szCs w:val="24"/>
        </w:rPr>
        <w:t>On the Preparation and Delivery of Sermons, New and Revised</w:t>
      </w:r>
      <w:r>
        <w:rPr>
          <w:sz w:val="24"/>
          <w:szCs w:val="24"/>
        </w:rPr>
        <w:t>., 103</w:t>
      </w:r>
      <w:r w:rsidRPr="00ED525D">
        <w:rPr>
          <w:sz w:val="24"/>
          <w:szCs w:val="24"/>
        </w:rPr>
        <w:t>.</w:t>
      </w:r>
    </w:p>
    <w:p w:rsidR="00440DFF" w:rsidRDefault="00440DFF">
      <w:pPr>
        <w:pStyle w:val="FootnoteText"/>
      </w:pPr>
      <w:r>
        <w:t xml:space="preserve"> </w:t>
      </w:r>
    </w:p>
  </w:footnote>
  <w:footnote w:id="69">
    <w:p w:rsidR="00440DFF" w:rsidRDefault="00440DFF" w:rsidP="00BF2EEE">
      <w:pPr>
        <w:pStyle w:val="FootnoteText"/>
        <w:ind w:firstLine="720"/>
        <w:rPr>
          <w:sz w:val="24"/>
          <w:szCs w:val="24"/>
        </w:rPr>
      </w:pPr>
      <w:r>
        <w:rPr>
          <w:rStyle w:val="FootnoteReference"/>
        </w:rPr>
        <w:footnoteRef/>
      </w:r>
      <w:r w:rsidRPr="00ED525D">
        <w:rPr>
          <w:sz w:val="24"/>
          <w:szCs w:val="24"/>
        </w:rPr>
        <w:t xml:space="preserve">Weatherspoon, </w:t>
      </w:r>
      <w:r w:rsidRPr="00ED525D">
        <w:rPr>
          <w:i/>
          <w:sz w:val="24"/>
          <w:szCs w:val="24"/>
        </w:rPr>
        <w:t>On the Preparation and Delivery of Sermons, New and Revised</w:t>
      </w:r>
      <w:r>
        <w:rPr>
          <w:sz w:val="24"/>
          <w:szCs w:val="24"/>
        </w:rPr>
        <w:t>., 44.</w:t>
      </w:r>
    </w:p>
    <w:p w:rsidR="00440DFF" w:rsidRDefault="00440DFF">
      <w:pPr>
        <w:pStyle w:val="FootnoteText"/>
      </w:pPr>
      <w:r>
        <w:t xml:space="preserve"> </w:t>
      </w:r>
    </w:p>
  </w:footnote>
  <w:footnote w:id="70">
    <w:p w:rsidR="00440DFF" w:rsidRDefault="00440DFF" w:rsidP="00975EEA">
      <w:pPr>
        <w:pStyle w:val="FootnoteText"/>
        <w:ind w:firstLine="720"/>
        <w:rPr>
          <w:sz w:val="24"/>
          <w:szCs w:val="24"/>
        </w:rPr>
      </w:pPr>
      <w:r w:rsidRPr="00975EEA">
        <w:rPr>
          <w:rStyle w:val="FootnoteReference"/>
          <w:sz w:val="24"/>
          <w:szCs w:val="24"/>
        </w:rPr>
        <w:footnoteRef/>
      </w:r>
      <w:r w:rsidRPr="00975EEA">
        <w:rPr>
          <w:sz w:val="24"/>
          <w:szCs w:val="24"/>
        </w:rPr>
        <w:t xml:space="preserve"> Ibid.</w:t>
      </w:r>
    </w:p>
    <w:p w:rsidR="00440DFF" w:rsidRPr="00975EEA" w:rsidRDefault="00440DFF" w:rsidP="00975EEA">
      <w:pPr>
        <w:pStyle w:val="FootnoteText"/>
        <w:ind w:firstLine="720"/>
        <w:rPr>
          <w:sz w:val="24"/>
          <w:szCs w:val="24"/>
        </w:rPr>
      </w:pPr>
    </w:p>
  </w:footnote>
  <w:footnote w:id="71">
    <w:p w:rsidR="00440DFF" w:rsidRDefault="00440DFF" w:rsidP="00D3699E">
      <w:pPr>
        <w:pStyle w:val="FootnoteText"/>
        <w:ind w:firstLine="720"/>
        <w:rPr>
          <w:sz w:val="22"/>
          <w:szCs w:val="22"/>
        </w:rPr>
      </w:pPr>
      <w:r w:rsidRPr="00D3699E">
        <w:rPr>
          <w:rStyle w:val="FootnoteReference"/>
          <w:sz w:val="22"/>
          <w:szCs w:val="22"/>
        </w:rPr>
        <w:footnoteRef/>
      </w:r>
      <w:r w:rsidRPr="00D3699E">
        <w:rPr>
          <w:sz w:val="22"/>
          <w:szCs w:val="22"/>
        </w:rPr>
        <w:t xml:space="preserve"> Ibid.,</w:t>
      </w:r>
      <w:r>
        <w:rPr>
          <w:sz w:val="22"/>
          <w:szCs w:val="22"/>
        </w:rPr>
        <w:t xml:space="preserve"> 45.</w:t>
      </w:r>
    </w:p>
    <w:p w:rsidR="00440DFF" w:rsidRPr="00D3699E" w:rsidRDefault="00440DFF" w:rsidP="00D3699E">
      <w:pPr>
        <w:pStyle w:val="FootnoteText"/>
        <w:ind w:firstLine="720"/>
        <w:rPr>
          <w:sz w:val="22"/>
          <w:szCs w:val="22"/>
        </w:rPr>
      </w:pPr>
    </w:p>
  </w:footnote>
  <w:footnote w:id="72">
    <w:p w:rsidR="00440DFF" w:rsidRDefault="00440DFF" w:rsidP="00E656C1">
      <w:pPr>
        <w:pStyle w:val="FootnoteText"/>
        <w:ind w:firstLine="720"/>
        <w:rPr>
          <w:sz w:val="24"/>
          <w:szCs w:val="24"/>
        </w:rPr>
      </w:pPr>
      <w:r w:rsidRPr="00E656C1">
        <w:rPr>
          <w:rStyle w:val="FootnoteReference"/>
          <w:sz w:val="24"/>
          <w:szCs w:val="24"/>
        </w:rPr>
        <w:footnoteRef/>
      </w:r>
      <w:r w:rsidRPr="00E656C1">
        <w:rPr>
          <w:sz w:val="24"/>
          <w:szCs w:val="24"/>
        </w:rPr>
        <w:t xml:space="preserve"> Ibid., 46.</w:t>
      </w:r>
    </w:p>
    <w:p w:rsidR="00440DFF" w:rsidRPr="00E656C1" w:rsidRDefault="00440DFF" w:rsidP="00E656C1">
      <w:pPr>
        <w:pStyle w:val="FootnoteText"/>
        <w:ind w:firstLine="720"/>
        <w:rPr>
          <w:sz w:val="24"/>
          <w:szCs w:val="24"/>
        </w:rPr>
      </w:pPr>
    </w:p>
  </w:footnote>
  <w:footnote w:id="73">
    <w:p w:rsidR="00440DFF" w:rsidRDefault="00440DFF" w:rsidP="00686A7B">
      <w:pPr>
        <w:pStyle w:val="FootnoteText"/>
        <w:ind w:firstLine="720"/>
        <w:rPr>
          <w:sz w:val="24"/>
          <w:szCs w:val="24"/>
        </w:rPr>
      </w:pPr>
      <w:r w:rsidRPr="00686A7B">
        <w:rPr>
          <w:rStyle w:val="FootnoteReference"/>
          <w:sz w:val="24"/>
          <w:szCs w:val="24"/>
        </w:rPr>
        <w:footnoteRef/>
      </w:r>
      <w:r w:rsidRPr="00686A7B">
        <w:rPr>
          <w:sz w:val="24"/>
          <w:szCs w:val="24"/>
        </w:rPr>
        <w:t xml:space="preserve"> Ibid.,47.</w:t>
      </w:r>
    </w:p>
    <w:p w:rsidR="00440DFF" w:rsidRPr="00686A7B" w:rsidRDefault="00440DFF" w:rsidP="00686A7B">
      <w:pPr>
        <w:pStyle w:val="FootnoteText"/>
        <w:ind w:firstLine="720"/>
        <w:rPr>
          <w:sz w:val="24"/>
          <w:szCs w:val="24"/>
        </w:rPr>
      </w:pPr>
    </w:p>
  </w:footnote>
  <w:footnote w:id="74">
    <w:p w:rsidR="00440DFF" w:rsidRPr="00B51E01" w:rsidRDefault="00440DFF" w:rsidP="00B51E01">
      <w:pPr>
        <w:pStyle w:val="FootnoteText"/>
        <w:ind w:firstLine="720"/>
        <w:rPr>
          <w:sz w:val="24"/>
          <w:szCs w:val="24"/>
        </w:rPr>
      </w:pPr>
      <w:r w:rsidRPr="00B51E01">
        <w:rPr>
          <w:rStyle w:val="FootnoteReference"/>
          <w:sz w:val="24"/>
          <w:szCs w:val="24"/>
        </w:rPr>
        <w:footnoteRef/>
      </w:r>
      <w:r w:rsidRPr="00B51E01">
        <w:rPr>
          <w:sz w:val="24"/>
          <w:szCs w:val="24"/>
        </w:rPr>
        <w:t xml:space="preserve"> Stanfield, </w:t>
      </w:r>
      <w:r w:rsidRPr="00B51E01">
        <w:rPr>
          <w:i/>
          <w:sz w:val="24"/>
          <w:szCs w:val="24"/>
        </w:rPr>
        <w:t>Favorite Sermons of John A. Broadus</w:t>
      </w:r>
      <w:r w:rsidRPr="00B51E01">
        <w:rPr>
          <w:sz w:val="24"/>
          <w:szCs w:val="24"/>
        </w:rPr>
        <w:t>, 66.</w:t>
      </w:r>
    </w:p>
  </w:footnote>
  <w:footnote w:id="75">
    <w:p w:rsidR="00440DFF" w:rsidRDefault="00440DFF" w:rsidP="00DC3BA8">
      <w:pPr>
        <w:pStyle w:val="FootnoteText"/>
        <w:ind w:firstLine="720"/>
        <w:rPr>
          <w:sz w:val="24"/>
          <w:szCs w:val="24"/>
        </w:rPr>
      </w:pPr>
      <w:r w:rsidRPr="00DC3BA8">
        <w:rPr>
          <w:rStyle w:val="FootnoteReference"/>
          <w:sz w:val="24"/>
          <w:szCs w:val="24"/>
        </w:rPr>
        <w:footnoteRef/>
      </w:r>
      <w:r w:rsidRPr="00DC3BA8">
        <w:rPr>
          <w:sz w:val="24"/>
          <w:szCs w:val="24"/>
        </w:rPr>
        <w:t xml:space="preserve"> Ibid, 67.</w:t>
      </w:r>
    </w:p>
    <w:p w:rsidR="00440DFF" w:rsidRPr="00DC3BA8" w:rsidRDefault="00440DFF" w:rsidP="00DC3BA8">
      <w:pPr>
        <w:pStyle w:val="FootnoteText"/>
        <w:ind w:firstLine="720"/>
        <w:rPr>
          <w:sz w:val="24"/>
          <w:szCs w:val="24"/>
        </w:rPr>
      </w:pPr>
    </w:p>
  </w:footnote>
  <w:footnote w:id="76">
    <w:p w:rsidR="00440DFF" w:rsidRDefault="00440DFF" w:rsidP="00411D59">
      <w:pPr>
        <w:pStyle w:val="FootnoteText"/>
        <w:ind w:firstLine="720"/>
        <w:rPr>
          <w:sz w:val="24"/>
          <w:szCs w:val="24"/>
        </w:rPr>
      </w:pPr>
      <w:r w:rsidRPr="00411D59">
        <w:rPr>
          <w:rStyle w:val="FootnoteReference"/>
          <w:sz w:val="24"/>
          <w:szCs w:val="24"/>
        </w:rPr>
        <w:footnoteRef/>
      </w:r>
      <w:r w:rsidRPr="00411D59">
        <w:rPr>
          <w:sz w:val="24"/>
          <w:szCs w:val="24"/>
        </w:rPr>
        <w:t xml:space="preserve"> Ibid.</w:t>
      </w:r>
    </w:p>
    <w:p w:rsidR="00440DFF" w:rsidRPr="00411D59" w:rsidRDefault="00440DFF" w:rsidP="00411D59">
      <w:pPr>
        <w:pStyle w:val="FootnoteText"/>
        <w:ind w:firstLine="720"/>
        <w:rPr>
          <w:sz w:val="24"/>
          <w:szCs w:val="24"/>
        </w:rPr>
      </w:pPr>
    </w:p>
  </w:footnote>
  <w:footnote w:id="77">
    <w:p w:rsidR="00440DFF" w:rsidRDefault="00440DFF" w:rsidP="00E606EF">
      <w:pPr>
        <w:pStyle w:val="FootnoteText"/>
        <w:ind w:firstLine="720"/>
        <w:rPr>
          <w:sz w:val="24"/>
          <w:szCs w:val="24"/>
        </w:rPr>
      </w:pPr>
      <w:r w:rsidRPr="00E606EF">
        <w:rPr>
          <w:rStyle w:val="FootnoteReference"/>
          <w:sz w:val="24"/>
          <w:szCs w:val="24"/>
        </w:rPr>
        <w:footnoteRef/>
      </w:r>
      <w:r w:rsidRPr="00E606EF">
        <w:rPr>
          <w:sz w:val="24"/>
          <w:szCs w:val="24"/>
        </w:rPr>
        <w:t xml:space="preserve"> Ibid., 68.</w:t>
      </w:r>
    </w:p>
    <w:p w:rsidR="00440DFF" w:rsidRPr="00E606EF" w:rsidRDefault="00440DFF" w:rsidP="00E606EF">
      <w:pPr>
        <w:pStyle w:val="FootnoteText"/>
        <w:ind w:firstLine="720"/>
        <w:rPr>
          <w:sz w:val="24"/>
          <w:szCs w:val="24"/>
        </w:rPr>
      </w:pPr>
    </w:p>
  </w:footnote>
  <w:footnote w:id="78">
    <w:p w:rsidR="00440DFF" w:rsidRDefault="00440DFF" w:rsidP="00934EBC">
      <w:pPr>
        <w:pStyle w:val="FootnoteText"/>
        <w:ind w:firstLine="720"/>
      </w:pPr>
      <w:r w:rsidRPr="00934EBC">
        <w:rPr>
          <w:rStyle w:val="FootnoteReference"/>
          <w:sz w:val="24"/>
          <w:szCs w:val="24"/>
        </w:rPr>
        <w:footnoteRef/>
      </w:r>
      <w:r w:rsidRPr="00934EBC">
        <w:rPr>
          <w:sz w:val="24"/>
          <w:szCs w:val="24"/>
        </w:rPr>
        <w:t>Ibid., 69</w:t>
      </w:r>
      <w:r>
        <w:t>.</w:t>
      </w:r>
    </w:p>
    <w:p w:rsidR="00440DFF" w:rsidRDefault="00440DFF">
      <w:pPr>
        <w:pStyle w:val="FootnoteText"/>
      </w:pPr>
    </w:p>
  </w:footnote>
  <w:footnote w:id="79">
    <w:p w:rsidR="00440DFF" w:rsidRDefault="00440DFF" w:rsidP="00422CBA">
      <w:pPr>
        <w:pStyle w:val="FootnoteText"/>
        <w:ind w:firstLine="720"/>
        <w:rPr>
          <w:sz w:val="24"/>
          <w:szCs w:val="24"/>
        </w:rPr>
      </w:pPr>
      <w:r w:rsidRPr="00422CBA">
        <w:rPr>
          <w:rStyle w:val="FootnoteReference"/>
          <w:sz w:val="24"/>
          <w:szCs w:val="24"/>
        </w:rPr>
        <w:footnoteRef/>
      </w:r>
      <w:r w:rsidRPr="00422CBA">
        <w:rPr>
          <w:sz w:val="24"/>
          <w:szCs w:val="24"/>
        </w:rPr>
        <w:t xml:space="preserve"> Ibid., 68.</w:t>
      </w:r>
    </w:p>
    <w:p w:rsidR="00440DFF" w:rsidRPr="00422CBA" w:rsidRDefault="00440DFF" w:rsidP="00422CBA">
      <w:pPr>
        <w:pStyle w:val="FootnoteText"/>
        <w:ind w:firstLine="720"/>
        <w:rPr>
          <w:sz w:val="24"/>
          <w:szCs w:val="24"/>
        </w:rPr>
      </w:pPr>
    </w:p>
  </w:footnote>
  <w:footnote w:id="80">
    <w:p w:rsidR="00440DFF" w:rsidRDefault="00440DFF" w:rsidP="00CF75CF">
      <w:pPr>
        <w:pStyle w:val="FootnoteText"/>
        <w:ind w:firstLine="720"/>
        <w:rPr>
          <w:sz w:val="24"/>
          <w:szCs w:val="24"/>
        </w:rPr>
      </w:pPr>
      <w:r w:rsidRPr="005A0285">
        <w:rPr>
          <w:rStyle w:val="FootnoteReference"/>
          <w:sz w:val="24"/>
          <w:szCs w:val="24"/>
        </w:rPr>
        <w:footnoteRef/>
      </w:r>
      <w:r w:rsidR="00CF75CF">
        <w:rPr>
          <w:sz w:val="24"/>
          <w:szCs w:val="24"/>
        </w:rPr>
        <w:t xml:space="preserve"> Ibid., 73</w:t>
      </w:r>
    </w:p>
    <w:p w:rsidR="00CF75CF" w:rsidRPr="005A0285" w:rsidRDefault="00CF75CF" w:rsidP="00CF75CF">
      <w:pPr>
        <w:pStyle w:val="FootnoteText"/>
        <w:ind w:firstLine="720"/>
        <w:rPr>
          <w:sz w:val="24"/>
          <w:szCs w:val="24"/>
        </w:rPr>
      </w:pPr>
    </w:p>
  </w:footnote>
  <w:footnote w:id="81">
    <w:p w:rsidR="00440DFF" w:rsidRDefault="00440DFF" w:rsidP="000B5C3E">
      <w:pPr>
        <w:pStyle w:val="FootnoteText"/>
        <w:ind w:firstLine="720"/>
        <w:rPr>
          <w:sz w:val="24"/>
          <w:szCs w:val="24"/>
        </w:rPr>
      </w:pPr>
      <w:r w:rsidRPr="000B5C3E">
        <w:rPr>
          <w:rStyle w:val="FootnoteReference"/>
          <w:sz w:val="24"/>
          <w:szCs w:val="24"/>
        </w:rPr>
        <w:footnoteRef/>
      </w:r>
      <w:r w:rsidRPr="000B5C3E">
        <w:rPr>
          <w:sz w:val="24"/>
          <w:szCs w:val="24"/>
        </w:rPr>
        <w:t xml:space="preserve"> </w:t>
      </w:r>
      <w:r w:rsidR="00CF75CF" w:rsidRPr="00ED525D">
        <w:rPr>
          <w:sz w:val="24"/>
          <w:szCs w:val="24"/>
        </w:rPr>
        <w:t xml:space="preserve">Weatherspoon, </w:t>
      </w:r>
      <w:r w:rsidR="00CF75CF" w:rsidRPr="00ED525D">
        <w:rPr>
          <w:i/>
          <w:sz w:val="24"/>
          <w:szCs w:val="24"/>
        </w:rPr>
        <w:t>On the Preparation and Delivery of Sermons, New and Revised</w:t>
      </w:r>
      <w:r w:rsidR="00CF75CF">
        <w:rPr>
          <w:sz w:val="24"/>
          <w:szCs w:val="24"/>
        </w:rPr>
        <w:t xml:space="preserve">., </w:t>
      </w:r>
      <w:r w:rsidRPr="000B5C3E">
        <w:rPr>
          <w:sz w:val="24"/>
          <w:szCs w:val="24"/>
        </w:rPr>
        <w:t>197.</w:t>
      </w:r>
    </w:p>
    <w:p w:rsidR="00440DFF" w:rsidRPr="000B5C3E" w:rsidRDefault="00440DFF" w:rsidP="000B5C3E">
      <w:pPr>
        <w:pStyle w:val="FootnoteText"/>
        <w:ind w:firstLine="720"/>
        <w:rPr>
          <w:sz w:val="24"/>
          <w:szCs w:val="24"/>
        </w:rPr>
      </w:pPr>
    </w:p>
  </w:footnote>
  <w:footnote w:id="82">
    <w:p w:rsidR="00440DFF" w:rsidRPr="00607F3C" w:rsidRDefault="00440DFF" w:rsidP="00607F3C">
      <w:pPr>
        <w:pStyle w:val="FootnoteText"/>
        <w:ind w:firstLine="720"/>
        <w:rPr>
          <w:sz w:val="24"/>
          <w:szCs w:val="24"/>
        </w:rPr>
      </w:pPr>
      <w:r w:rsidRPr="00607F3C">
        <w:rPr>
          <w:rStyle w:val="FootnoteReference"/>
          <w:sz w:val="24"/>
          <w:szCs w:val="24"/>
        </w:rPr>
        <w:footnoteRef/>
      </w:r>
      <w:r w:rsidRPr="00607F3C">
        <w:rPr>
          <w:sz w:val="24"/>
          <w:szCs w:val="24"/>
        </w:rPr>
        <w:t xml:space="preserve"> Ibid., 198.</w:t>
      </w:r>
    </w:p>
  </w:footnote>
  <w:footnote w:id="83">
    <w:p w:rsidR="00E84537" w:rsidRDefault="00E84537" w:rsidP="00E84537">
      <w:pPr>
        <w:pStyle w:val="FootnoteText"/>
        <w:ind w:firstLine="720"/>
        <w:rPr>
          <w:sz w:val="24"/>
          <w:szCs w:val="24"/>
        </w:rPr>
      </w:pPr>
      <w:r w:rsidRPr="00E84537">
        <w:rPr>
          <w:rStyle w:val="FootnoteReference"/>
          <w:sz w:val="24"/>
          <w:szCs w:val="24"/>
        </w:rPr>
        <w:footnoteRef/>
      </w:r>
      <w:r w:rsidRPr="00E84537">
        <w:rPr>
          <w:sz w:val="24"/>
          <w:szCs w:val="24"/>
        </w:rPr>
        <w:t xml:space="preserve"> Ibid., 210.</w:t>
      </w:r>
    </w:p>
    <w:p w:rsidR="00E84537" w:rsidRPr="00E84537" w:rsidRDefault="00E84537" w:rsidP="00E84537">
      <w:pPr>
        <w:pStyle w:val="FootnoteText"/>
        <w:ind w:firstLine="720"/>
        <w:rPr>
          <w:sz w:val="24"/>
          <w:szCs w:val="24"/>
        </w:rPr>
      </w:pPr>
    </w:p>
  </w:footnote>
  <w:footnote w:id="84">
    <w:p w:rsidR="00CF75CF" w:rsidRDefault="00CF75CF" w:rsidP="00CF75CF">
      <w:pPr>
        <w:pStyle w:val="FootnoteText"/>
        <w:ind w:firstLine="720"/>
        <w:rPr>
          <w:sz w:val="24"/>
          <w:szCs w:val="24"/>
        </w:rPr>
      </w:pPr>
      <w:r w:rsidRPr="00907908">
        <w:rPr>
          <w:rStyle w:val="FootnoteReference"/>
          <w:sz w:val="24"/>
          <w:szCs w:val="24"/>
        </w:rPr>
        <w:footnoteRef/>
      </w:r>
      <w:r w:rsidRPr="00907908">
        <w:rPr>
          <w:sz w:val="24"/>
          <w:szCs w:val="24"/>
        </w:rPr>
        <w:t xml:space="preserve"> </w:t>
      </w:r>
      <w:r w:rsidRPr="00907908">
        <w:rPr>
          <w:sz w:val="24"/>
          <w:szCs w:val="24"/>
        </w:rPr>
        <w:t xml:space="preserve">Stanfield, </w:t>
      </w:r>
      <w:r w:rsidRPr="00907908">
        <w:rPr>
          <w:i/>
          <w:sz w:val="24"/>
          <w:szCs w:val="24"/>
        </w:rPr>
        <w:t>Favorite Sermons of John A. Broadus</w:t>
      </w:r>
      <w:r w:rsidRPr="00907908">
        <w:rPr>
          <w:sz w:val="24"/>
          <w:szCs w:val="24"/>
        </w:rPr>
        <w:t>, 72.</w:t>
      </w:r>
    </w:p>
    <w:p w:rsidR="00907908" w:rsidRPr="00907908" w:rsidRDefault="00907908" w:rsidP="00CF75CF">
      <w:pPr>
        <w:pStyle w:val="FootnoteText"/>
        <w:ind w:firstLine="720"/>
        <w:rPr>
          <w:sz w:val="24"/>
          <w:szCs w:val="24"/>
        </w:rPr>
      </w:pPr>
    </w:p>
  </w:footnote>
  <w:footnote w:id="85">
    <w:p w:rsidR="00907908" w:rsidRDefault="00907908" w:rsidP="00907908">
      <w:pPr>
        <w:pStyle w:val="FootnoteText"/>
        <w:ind w:firstLine="720"/>
      </w:pPr>
      <w:r w:rsidRPr="00907908">
        <w:rPr>
          <w:rStyle w:val="FootnoteReference"/>
          <w:sz w:val="24"/>
          <w:szCs w:val="24"/>
        </w:rPr>
        <w:footnoteRef/>
      </w:r>
      <w:r w:rsidRPr="00907908">
        <w:rPr>
          <w:sz w:val="24"/>
          <w:szCs w:val="24"/>
        </w:rPr>
        <w:t xml:space="preserve"> Ibid.</w:t>
      </w:r>
    </w:p>
  </w:footnote>
  <w:footnote w:id="86">
    <w:p w:rsidR="0095655E" w:rsidRDefault="0095655E" w:rsidP="00412163">
      <w:pPr>
        <w:pStyle w:val="FootnoteText"/>
        <w:ind w:firstLine="720"/>
        <w:rPr>
          <w:sz w:val="24"/>
          <w:szCs w:val="24"/>
        </w:rPr>
      </w:pPr>
      <w:r w:rsidRPr="00412163">
        <w:rPr>
          <w:rStyle w:val="FootnoteReference"/>
          <w:sz w:val="24"/>
          <w:szCs w:val="24"/>
        </w:rPr>
        <w:footnoteRef/>
      </w:r>
      <w:r w:rsidRPr="00412163">
        <w:rPr>
          <w:sz w:val="24"/>
          <w:szCs w:val="24"/>
        </w:rPr>
        <w:t xml:space="preserve"> </w:t>
      </w:r>
      <w:r w:rsidR="00412163" w:rsidRPr="00ED525D">
        <w:rPr>
          <w:sz w:val="24"/>
          <w:szCs w:val="24"/>
        </w:rPr>
        <w:t xml:space="preserve">Weatherspoon, </w:t>
      </w:r>
      <w:r w:rsidR="00412163" w:rsidRPr="00ED525D">
        <w:rPr>
          <w:i/>
          <w:sz w:val="24"/>
          <w:szCs w:val="24"/>
        </w:rPr>
        <w:t>On the Preparation and Delivery of Sermons, New and Revised</w:t>
      </w:r>
      <w:r w:rsidR="00412163">
        <w:rPr>
          <w:sz w:val="24"/>
          <w:szCs w:val="24"/>
        </w:rPr>
        <w:t xml:space="preserve">, </w:t>
      </w:r>
      <w:r w:rsidRPr="00412163">
        <w:rPr>
          <w:sz w:val="24"/>
          <w:szCs w:val="24"/>
        </w:rPr>
        <w:t>322.</w:t>
      </w:r>
    </w:p>
    <w:p w:rsidR="00412163" w:rsidRPr="00412163" w:rsidRDefault="00412163" w:rsidP="0095655E">
      <w:pPr>
        <w:pStyle w:val="FootnoteText"/>
        <w:rPr>
          <w:sz w:val="24"/>
          <w:szCs w:val="24"/>
        </w:rPr>
      </w:pPr>
    </w:p>
  </w:footnote>
  <w:footnote w:id="87">
    <w:p w:rsidR="00412163" w:rsidRDefault="00412163" w:rsidP="00412163">
      <w:pPr>
        <w:pStyle w:val="FootnoteText"/>
        <w:ind w:firstLine="720"/>
      </w:pPr>
      <w:r w:rsidRPr="00412163">
        <w:rPr>
          <w:rStyle w:val="FootnoteReference"/>
          <w:sz w:val="24"/>
          <w:szCs w:val="24"/>
        </w:rPr>
        <w:footnoteRef/>
      </w:r>
      <w:r w:rsidRPr="00907908">
        <w:rPr>
          <w:sz w:val="24"/>
          <w:szCs w:val="24"/>
        </w:rPr>
        <w:t xml:space="preserve">Stanfield, </w:t>
      </w:r>
      <w:r w:rsidRPr="00907908">
        <w:rPr>
          <w:i/>
          <w:sz w:val="24"/>
          <w:szCs w:val="24"/>
        </w:rPr>
        <w:t>Favorite Sermons of John A. Broadus</w:t>
      </w:r>
      <w:r>
        <w:rPr>
          <w:sz w:val="24"/>
          <w:szCs w:val="24"/>
        </w:rPr>
        <w:t>, 74</w:t>
      </w:r>
      <w:r w:rsidRPr="00907908">
        <w:rPr>
          <w:sz w:val="24"/>
          <w:szCs w:val="24"/>
        </w:rPr>
        <w:t>.</w:t>
      </w:r>
      <w:r>
        <w:t xml:space="preserve"> </w:t>
      </w:r>
    </w:p>
  </w:footnote>
  <w:footnote w:id="88">
    <w:p w:rsidR="00440DFF" w:rsidRPr="00C16E04" w:rsidRDefault="00440DFF" w:rsidP="00C16E04">
      <w:pPr>
        <w:pStyle w:val="FootnoteText"/>
        <w:ind w:firstLine="720"/>
      </w:pPr>
      <w:r w:rsidRPr="005A0285">
        <w:rPr>
          <w:rStyle w:val="FootnoteReference"/>
          <w:sz w:val="24"/>
          <w:szCs w:val="24"/>
        </w:rPr>
        <w:footnoteRef/>
      </w:r>
      <w:r w:rsidRPr="005A0285">
        <w:rPr>
          <w:sz w:val="24"/>
          <w:szCs w:val="24"/>
        </w:rPr>
        <w:t xml:space="preserve"> </w:t>
      </w:r>
      <w:r w:rsidRPr="00B12550">
        <w:rPr>
          <w:sz w:val="24"/>
          <w:szCs w:val="24"/>
        </w:rPr>
        <w:t xml:space="preserve">Archibald T. Robertson, </w:t>
      </w:r>
      <w:r w:rsidRPr="00B12550">
        <w:rPr>
          <w:i/>
          <w:sz w:val="24"/>
          <w:szCs w:val="24"/>
        </w:rPr>
        <w:t>Life and Letters of John A. Broadus</w:t>
      </w:r>
      <w:r>
        <w:rPr>
          <w:sz w:val="24"/>
          <w:szCs w:val="24"/>
        </w:rPr>
        <w:t>, 444, 445.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F6A"/>
    <w:rsid w:val="000051BB"/>
    <w:rsid w:val="0002296E"/>
    <w:rsid w:val="00023354"/>
    <w:rsid w:val="00030094"/>
    <w:rsid w:val="00034F50"/>
    <w:rsid w:val="00040FBE"/>
    <w:rsid w:val="000414CF"/>
    <w:rsid w:val="00047099"/>
    <w:rsid w:val="00056B35"/>
    <w:rsid w:val="00084A93"/>
    <w:rsid w:val="000945CA"/>
    <w:rsid w:val="000A3487"/>
    <w:rsid w:val="000B5C3E"/>
    <w:rsid w:val="000C6C2E"/>
    <w:rsid w:val="000F0EA1"/>
    <w:rsid w:val="000F2825"/>
    <w:rsid w:val="000F7AE4"/>
    <w:rsid w:val="0010307D"/>
    <w:rsid w:val="0010749D"/>
    <w:rsid w:val="00120DA8"/>
    <w:rsid w:val="0012249B"/>
    <w:rsid w:val="00130D4A"/>
    <w:rsid w:val="00141263"/>
    <w:rsid w:val="00143296"/>
    <w:rsid w:val="0014691D"/>
    <w:rsid w:val="00161C99"/>
    <w:rsid w:val="00175336"/>
    <w:rsid w:val="0018351B"/>
    <w:rsid w:val="00185FB1"/>
    <w:rsid w:val="00186BD2"/>
    <w:rsid w:val="0019017E"/>
    <w:rsid w:val="001962CE"/>
    <w:rsid w:val="001B2CD1"/>
    <w:rsid w:val="001C137E"/>
    <w:rsid w:val="001C30A2"/>
    <w:rsid w:val="001E39BD"/>
    <w:rsid w:val="002021DC"/>
    <w:rsid w:val="00210DEA"/>
    <w:rsid w:val="00233A00"/>
    <w:rsid w:val="0025228E"/>
    <w:rsid w:val="00256489"/>
    <w:rsid w:val="00261728"/>
    <w:rsid w:val="00273FA0"/>
    <w:rsid w:val="00276A06"/>
    <w:rsid w:val="00284C21"/>
    <w:rsid w:val="0029028D"/>
    <w:rsid w:val="00293BE6"/>
    <w:rsid w:val="002A583B"/>
    <w:rsid w:val="002B1764"/>
    <w:rsid w:val="002B2563"/>
    <w:rsid w:val="002C2450"/>
    <w:rsid w:val="002C60C1"/>
    <w:rsid w:val="002D6F52"/>
    <w:rsid w:val="002E28E0"/>
    <w:rsid w:val="0031025A"/>
    <w:rsid w:val="00331473"/>
    <w:rsid w:val="0035032F"/>
    <w:rsid w:val="00357AF1"/>
    <w:rsid w:val="003729A4"/>
    <w:rsid w:val="003749E7"/>
    <w:rsid w:val="00374F46"/>
    <w:rsid w:val="003771CF"/>
    <w:rsid w:val="00384F42"/>
    <w:rsid w:val="00387EA9"/>
    <w:rsid w:val="003A2387"/>
    <w:rsid w:val="003A62D3"/>
    <w:rsid w:val="003B0697"/>
    <w:rsid w:val="003C5649"/>
    <w:rsid w:val="004040C4"/>
    <w:rsid w:val="00405DCE"/>
    <w:rsid w:val="00411D59"/>
    <w:rsid w:val="00412163"/>
    <w:rsid w:val="0041369C"/>
    <w:rsid w:val="00422CBA"/>
    <w:rsid w:val="0042302D"/>
    <w:rsid w:val="00430B56"/>
    <w:rsid w:val="00440DFF"/>
    <w:rsid w:val="00441514"/>
    <w:rsid w:val="00441635"/>
    <w:rsid w:val="00442BA6"/>
    <w:rsid w:val="0045375A"/>
    <w:rsid w:val="00462C0A"/>
    <w:rsid w:val="004759ED"/>
    <w:rsid w:val="004870D3"/>
    <w:rsid w:val="00492FB4"/>
    <w:rsid w:val="004A42D0"/>
    <w:rsid w:val="004B16BB"/>
    <w:rsid w:val="004C1A3F"/>
    <w:rsid w:val="004C72B7"/>
    <w:rsid w:val="004D5B50"/>
    <w:rsid w:val="005200C0"/>
    <w:rsid w:val="00526EE3"/>
    <w:rsid w:val="00530837"/>
    <w:rsid w:val="00542783"/>
    <w:rsid w:val="00551329"/>
    <w:rsid w:val="00551606"/>
    <w:rsid w:val="00553D68"/>
    <w:rsid w:val="00555A3A"/>
    <w:rsid w:val="00582186"/>
    <w:rsid w:val="00583586"/>
    <w:rsid w:val="00587C62"/>
    <w:rsid w:val="00593F6A"/>
    <w:rsid w:val="00596586"/>
    <w:rsid w:val="005A0285"/>
    <w:rsid w:val="005A1BAB"/>
    <w:rsid w:val="005B0388"/>
    <w:rsid w:val="005B1C53"/>
    <w:rsid w:val="005B65D3"/>
    <w:rsid w:val="005B6B66"/>
    <w:rsid w:val="005C5967"/>
    <w:rsid w:val="005D1A7D"/>
    <w:rsid w:val="005D61AA"/>
    <w:rsid w:val="005E0F47"/>
    <w:rsid w:val="005E4C05"/>
    <w:rsid w:val="005F0243"/>
    <w:rsid w:val="005F6745"/>
    <w:rsid w:val="00607432"/>
    <w:rsid w:val="00607F3C"/>
    <w:rsid w:val="00620BD7"/>
    <w:rsid w:val="00622954"/>
    <w:rsid w:val="00623369"/>
    <w:rsid w:val="00625A6E"/>
    <w:rsid w:val="00641F95"/>
    <w:rsid w:val="00650915"/>
    <w:rsid w:val="00654834"/>
    <w:rsid w:val="00654C39"/>
    <w:rsid w:val="00664D19"/>
    <w:rsid w:val="006833CE"/>
    <w:rsid w:val="00686A7B"/>
    <w:rsid w:val="006C30D4"/>
    <w:rsid w:val="006D65E6"/>
    <w:rsid w:val="006F18A0"/>
    <w:rsid w:val="006F574B"/>
    <w:rsid w:val="00711872"/>
    <w:rsid w:val="00712F8B"/>
    <w:rsid w:val="00716EC8"/>
    <w:rsid w:val="007660D3"/>
    <w:rsid w:val="007663D4"/>
    <w:rsid w:val="00774CB0"/>
    <w:rsid w:val="00777393"/>
    <w:rsid w:val="0078699E"/>
    <w:rsid w:val="00793081"/>
    <w:rsid w:val="007A3D20"/>
    <w:rsid w:val="007D2576"/>
    <w:rsid w:val="007D68C8"/>
    <w:rsid w:val="007E26B2"/>
    <w:rsid w:val="007E2EDE"/>
    <w:rsid w:val="007E5BFF"/>
    <w:rsid w:val="00805BD5"/>
    <w:rsid w:val="008170B2"/>
    <w:rsid w:val="00825486"/>
    <w:rsid w:val="0083488E"/>
    <w:rsid w:val="008372AF"/>
    <w:rsid w:val="00845C7A"/>
    <w:rsid w:val="008471F7"/>
    <w:rsid w:val="00850FFE"/>
    <w:rsid w:val="00855D0C"/>
    <w:rsid w:val="00870E08"/>
    <w:rsid w:val="00875B0E"/>
    <w:rsid w:val="00881C19"/>
    <w:rsid w:val="00893B6A"/>
    <w:rsid w:val="0089565E"/>
    <w:rsid w:val="008A1FCA"/>
    <w:rsid w:val="008A30DD"/>
    <w:rsid w:val="008C2650"/>
    <w:rsid w:val="008D6B3B"/>
    <w:rsid w:val="008F212B"/>
    <w:rsid w:val="00901033"/>
    <w:rsid w:val="00904772"/>
    <w:rsid w:val="00907908"/>
    <w:rsid w:val="00911223"/>
    <w:rsid w:val="00917DA7"/>
    <w:rsid w:val="009255A5"/>
    <w:rsid w:val="0093370D"/>
    <w:rsid w:val="00934EBC"/>
    <w:rsid w:val="00940B0C"/>
    <w:rsid w:val="0095496A"/>
    <w:rsid w:val="0095655E"/>
    <w:rsid w:val="00975E9D"/>
    <w:rsid w:val="00975EEA"/>
    <w:rsid w:val="009B4756"/>
    <w:rsid w:val="009B4BC9"/>
    <w:rsid w:val="009C2F9D"/>
    <w:rsid w:val="009C53E7"/>
    <w:rsid w:val="009D210E"/>
    <w:rsid w:val="009D31D7"/>
    <w:rsid w:val="009D378E"/>
    <w:rsid w:val="009D406D"/>
    <w:rsid w:val="009E02C6"/>
    <w:rsid w:val="009E42E7"/>
    <w:rsid w:val="009E4677"/>
    <w:rsid w:val="009E7AFF"/>
    <w:rsid w:val="009F21F9"/>
    <w:rsid w:val="00A017F5"/>
    <w:rsid w:val="00A0627A"/>
    <w:rsid w:val="00A266BC"/>
    <w:rsid w:val="00A27AFB"/>
    <w:rsid w:val="00A33657"/>
    <w:rsid w:val="00A35DEF"/>
    <w:rsid w:val="00A60D1F"/>
    <w:rsid w:val="00A7702E"/>
    <w:rsid w:val="00A86159"/>
    <w:rsid w:val="00A94597"/>
    <w:rsid w:val="00A95270"/>
    <w:rsid w:val="00A9593B"/>
    <w:rsid w:val="00A96D1A"/>
    <w:rsid w:val="00AA660C"/>
    <w:rsid w:val="00AE06EB"/>
    <w:rsid w:val="00AE3F7C"/>
    <w:rsid w:val="00AE6BFA"/>
    <w:rsid w:val="00AF2A29"/>
    <w:rsid w:val="00AF5EC7"/>
    <w:rsid w:val="00B12253"/>
    <w:rsid w:val="00B12550"/>
    <w:rsid w:val="00B16B4C"/>
    <w:rsid w:val="00B204EB"/>
    <w:rsid w:val="00B20E1F"/>
    <w:rsid w:val="00B2122A"/>
    <w:rsid w:val="00B2502A"/>
    <w:rsid w:val="00B460B9"/>
    <w:rsid w:val="00B50E2F"/>
    <w:rsid w:val="00B51E01"/>
    <w:rsid w:val="00B5557B"/>
    <w:rsid w:val="00BA5A21"/>
    <w:rsid w:val="00BD3C1F"/>
    <w:rsid w:val="00BD51E7"/>
    <w:rsid w:val="00BE1E0C"/>
    <w:rsid w:val="00BF2EEE"/>
    <w:rsid w:val="00BF4F2A"/>
    <w:rsid w:val="00C06581"/>
    <w:rsid w:val="00C103B4"/>
    <w:rsid w:val="00C11FE0"/>
    <w:rsid w:val="00C131A6"/>
    <w:rsid w:val="00C16E04"/>
    <w:rsid w:val="00C27A3E"/>
    <w:rsid w:val="00C333B5"/>
    <w:rsid w:val="00C342C1"/>
    <w:rsid w:val="00C34AD2"/>
    <w:rsid w:val="00C3569C"/>
    <w:rsid w:val="00C4120E"/>
    <w:rsid w:val="00C5671D"/>
    <w:rsid w:val="00C676C3"/>
    <w:rsid w:val="00C76802"/>
    <w:rsid w:val="00CB4B84"/>
    <w:rsid w:val="00CC0D8C"/>
    <w:rsid w:val="00CE1178"/>
    <w:rsid w:val="00CF75CF"/>
    <w:rsid w:val="00D104E4"/>
    <w:rsid w:val="00D14500"/>
    <w:rsid w:val="00D310F7"/>
    <w:rsid w:val="00D35726"/>
    <w:rsid w:val="00D3699E"/>
    <w:rsid w:val="00D43022"/>
    <w:rsid w:val="00D476B6"/>
    <w:rsid w:val="00D50B7E"/>
    <w:rsid w:val="00D53F8A"/>
    <w:rsid w:val="00D57E10"/>
    <w:rsid w:val="00D66BFF"/>
    <w:rsid w:val="00D85AAA"/>
    <w:rsid w:val="00DA33F8"/>
    <w:rsid w:val="00DA6D81"/>
    <w:rsid w:val="00DB3EF7"/>
    <w:rsid w:val="00DC0497"/>
    <w:rsid w:val="00DC1845"/>
    <w:rsid w:val="00DC3BA8"/>
    <w:rsid w:val="00DC7072"/>
    <w:rsid w:val="00DD4947"/>
    <w:rsid w:val="00DE631A"/>
    <w:rsid w:val="00E04843"/>
    <w:rsid w:val="00E130C6"/>
    <w:rsid w:val="00E23F2F"/>
    <w:rsid w:val="00E42D09"/>
    <w:rsid w:val="00E44C4B"/>
    <w:rsid w:val="00E5551E"/>
    <w:rsid w:val="00E606EF"/>
    <w:rsid w:val="00E607B2"/>
    <w:rsid w:val="00E60C5B"/>
    <w:rsid w:val="00E624AE"/>
    <w:rsid w:val="00E656C1"/>
    <w:rsid w:val="00E66A62"/>
    <w:rsid w:val="00E7315D"/>
    <w:rsid w:val="00E8059B"/>
    <w:rsid w:val="00E84537"/>
    <w:rsid w:val="00EA381C"/>
    <w:rsid w:val="00EB0948"/>
    <w:rsid w:val="00EB49E5"/>
    <w:rsid w:val="00EC2826"/>
    <w:rsid w:val="00ED43C3"/>
    <w:rsid w:val="00ED525D"/>
    <w:rsid w:val="00EE387E"/>
    <w:rsid w:val="00EF25D0"/>
    <w:rsid w:val="00F057C7"/>
    <w:rsid w:val="00F14FF4"/>
    <w:rsid w:val="00F21EB4"/>
    <w:rsid w:val="00F5600D"/>
    <w:rsid w:val="00F61251"/>
    <w:rsid w:val="00F87F94"/>
    <w:rsid w:val="00FA43B4"/>
    <w:rsid w:val="00FC4CAB"/>
    <w:rsid w:val="00FC6F7A"/>
    <w:rsid w:val="00FD0B21"/>
    <w:rsid w:val="00FE5AEF"/>
    <w:rsid w:val="00FF0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C605"/>
  <w15:chartTrackingRefBased/>
  <w15:docId w15:val="{3656ED9E-CFD7-4DE7-A4B3-BF5A7B8F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3F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3F6A"/>
    <w:rPr>
      <w:sz w:val="20"/>
      <w:szCs w:val="20"/>
    </w:rPr>
  </w:style>
  <w:style w:type="character" w:styleId="FootnoteReference">
    <w:name w:val="footnote reference"/>
    <w:basedOn w:val="DefaultParagraphFont"/>
    <w:uiPriority w:val="99"/>
    <w:semiHidden/>
    <w:unhideWhenUsed/>
    <w:rsid w:val="00593F6A"/>
    <w:rPr>
      <w:vertAlign w:val="superscript"/>
    </w:rPr>
  </w:style>
  <w:style w:type="paragraph" w:customStyle="1" w:styleId="Body">
    <w:name w:val="Body"/>
    <w:rsid w:val="008C2650"/>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styleId="Header">
    <w:name w:val="header"/>
    <w:basedOn w:val="Normal"/>
    <w:link w:val="HeaderChar"/>
    <w:uiPriority w:val="99"/>
    <w:unhideWhenUsed/>
    <w:rsid w:val="008C2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650"/>
  </w:style>
  <w:style w:type="paragraph" w:styleId="Footer">
    <w:name w:val="footer"/>
    <w:basedOn w:val="Normal"/>
    <w:link w:val="FooterChar"/>
    <w:uiPriority w:val="99"/>
    <w:unhideWhenUsed/>
    <w:rsid w:val="008C2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A768-76CB-4928-8D3A-173FEA1F7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31</Pages>
  <Words>7517</Words>
  <Characters>42853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Lab</dc:creator>
  <cp:keywords/>
  <dc:description/>
  <cp:lastModifiedBy>Bartley</cp:lastModifiedBy>
  <cp:revision>52</cp:revision>
  <dcterms:created xsi:type="dcterms:W3CDTF">2017-10-07T04:33:00Z</dcterms:created>
  <dcterms:modified xsi:type="dcterms:W3CDTF">2017-10-09T10:34:00Z</dcterms:modified>
</cp:coreProperties>
</file>